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0"/>
      </w:pPr>
      <w:r>
        <w:drawing>
          <wp:inline xmlns:a="http://schemas.openxmlformats.org/drawingml/2006/main" xmlns:pic="http://schemas.openxmlformats.org/drawingml/2006/picture">
            <wp:extent cx="2240280" cy="666361"/>
            <wp:docPr id="1" name="Picture 1"/>
            <wp:cNvGraphicFramePr>
              <a:graphicFrameLocks noChangeAspect="1"/>
            </wp:cNvGraphicFramePr>
            <a:graphic>
              <a:graphicData uri="http://schemas.openxmlformats.org/drawingml/2006/picture">
                <pic:pic>
                  <pic:nvPicPr>
                    <pic:cNvPr id="0" name="firm-logo.png"/>
                    <pic:cNvPicPr/>
                  </pic:nvPicPr>
                  <pic:blipFill>
                    <a:blip r:embed="rId11"/>
                    <a:stretch>
                      <a:fillRect/>
                    </a:stretch>
                  </pic:blipFill>
                  <pic:spPr>
                    <a:xfrm>
                      <a:off x="0" y="0"/>
                      <a:ext cx="2240280" cy="666361"/>
                    </a:xfrm>
                    <a:prstGeom prst="rect"/>
                  </pic:spPr>
                </pic:pic>
              </a:graphicData>
            </a:graphic>
          </wp:inline>
        </w:drawing>
      </w:r>
    </w:p>
    <w:p>
      <w:pPr>
        <w:spacing w:after="100"/>
      </w:pPr>
      <w:r>
        <w:rPr>
          <w:rFonts w:ascii="Calibri" w:hAnsi="Calibri"/>
          <w:b/>
          <w:color w:val="C58B34"/>
          <w:sz w:val="17"/>
        </w:rPr>
        <w:t>BUSINESS DOCUMENT STUDIO  ·  FREE WORKING RESOURCE</w:t>
      </w:r>
    </w:p>
    <w:p>
      <w:pPr>
        <w:pStyle w:val="Title"/>
      </w:pPr>
      <w:r>
        <w:t>AML/CFT Programme Gap Checklist</w:t>
      </w:r>
    </w:p>
    <w:p>
      <w:pPr>
        <w:pStyle w:val="Subtitle"/>
      </w:pPr>
      <w:r>
        <w:t>A governance and control review aid for Kenyan fintechs and other regulated businesses.</w:t>
      </w:r>
    </w:p>
    <w:tbl>
      <w:tblPr>
        <w:tblW w:type="dxa" w:w="9360"/>
        <w:jc w:val="left"/>
        <w:tblLayout w:type="fixed"/>
        <w:tblLook w:firstColumn="1" w:firstRow="1" w:lastColumn="0" w:lastRow="0" w:noHBand="0" w:noVBand="1" w:val="04A0"/>
        <w:tblInd w:type="dxa" w:w="120"/>
      </w:tblPr>
      <w:tblGrid>
        <w:gridCol w:w="1550"/>
        <w:gridCol w:w="2450"/>
        <w:gridCol w:w="1550"/>
        <w:gridCol w:w="3810"/>
      </w:tblGrid>
      <w:tr>
        <w:trPr/>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JURISDICTION</w:t>
            </w:r>
          </w:p>
        </w:tc>
        <w:tc>
          <w:tcPr>
            <w:tcW w:type="dxa" w:w="245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Kenya</w:t>
            </w:r>
          </w:p>
        </w:tc>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LAST REVIEWED</w:t>
            </w:r>
          </w:p>
        </w:tc>
        <w:tc>
          <w:tcPr>
            <w:tcW w:type="dxa" w:w="381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31 July 2026</w:t>
            </w:r>
          </w:p>
        </w:tc>
      </w:tr>
      <w:tr>
        <w:trPr/>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FORMAT</w:t>
            </w:r>
          </w:p>
        </w:tc>
        <w:tc>
          <w:tcPr>
            <w:tcW w:type="dxa" w:w="245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Editable Word document</w:t>
            </w:r>
          </w:p>
        </w:tc>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RESOURCE</w:t>
            </w:r>
          </w:p>
        </w:tc>
        <w:tc>
          <w:tcPr>
            <w:tcW w:type="dxa" w:w="381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DS–AML–01</w:t>
            </w:r>
          </w:p>
        </w:tc>
      </w:tr>
    </w:tbl>
    <w:tbl>
      <w:tblPr>
        <w:tblW w:type="dxa" w:w="9360"/>
        <w:jc w:val="left"/>
        <w:tblLayout w:type="fixed"/>
        <w:tblLook w:firstColumn="1" w:firstRow="1" w:lastColumn="0" w:lastRow="0" w:noHBand="0" w:noVBand="1" w:val="04A0"/>
        <w:tblInd w:type="dxa" w:w="120"/>
      </w:tblPr>
      <w:tblGrid>
        <w:gridCol w:w="9360"/>
      </w:tblGrid>
      <w:tr>
        <w:trPr/>
        <w:tc>
          <w:tcPr>
            <w:tcW w:type="dxa" w:w="9360"/>
            <w:shd w:fill="F7F1E6"/>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40" w:after="40"/>
            </w:pPr>
            <w:r>
              <w:rPr>
                <w:rFonts w:ascii="Calibri" w:hAnsi="Calibri"/>
                <w:b/>
                <w:color w:val="2D073A"/>
                <w:sz w:val="19"/>
              </w:rPr>
              <w:t xml:space="preserve">Use offline; do not upload confidential information. </w:t>
            </w:r>
            <w:r>
              <w:rPr>
                <w:rFonts w:ascii="Calibri" w:hAnsi="Calibri"/>
                <w:color w:val="251F28"/>
                <w:sz w:val="19"/>
              </w:rPr>
              <w:t>This resource is designed to be downloaded and completed within your own controlled environment. The firm does not receive, store or review your entries unless you separately instruct it to do so after conflicts and engagement checks.</w:t>
            </w:r>
          </w:p>
        </w:tc>
      </w:tr>
    </w:tbl>
    <w:p>
      <w:pPr>
        <w:spacing w:after="40"/>
      </w:pPr>
    </w:p>
    <w:p>
      <w:pPr>
        <w:pStyle w:val="Heading1"/>
      </w:pPr>
      <w:r>
        <w:t>Scope before scoring</w:t>
      </w:r>
    </w:p>
    <w:p>
      <w:r>
        <w:t>Confirm whether the business is a reporting institution, which sectoral regulator or supervisory body applies, and which products, customers, channels and jurisdictions are in scope. Requirements vary by status and activity. This checklist identifies review areas; it does not certify compliance.</w:t>
      </w:r>
    </w:p>
    <w:tbl>
      <w:tblPr>
        <w:tblW w:type="dxa" w:w="9360"/>
        <w:jc w:val="left"/>
        <w:tblLayout w:type="fixed"/>
        <w:tblLook w:firstColumn="1" w:firstRow="1" w:lastColumn="0" w:lastRow="0" w:noHBand="0" w:noVBand="1" w:val="04A0"/>
        <w:tblInd w:type="dxa" w:w="120"/>
      </w:tblPr>
      <w:tblGrid>
        <w:gridCol w:w="3200"/>
        <w:gridCol w:w="6160"/>
      </w:tblGrid>
      <w:tr>
        <w:trPr/>
        <w:tc>
          <w:tcPr>
            <w:tcW w:type="dxa" w:w="320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Entity / business line</w:t>
            </w:r>
          </w:p>
        </w:tc>
        <w:tc>
          <w:tcPr>
            <w:tcW w:type="dxa" w:w="6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320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Reporting-institution / regulated status</w:t>
            </w:r>
          </w:p>
        </w:tc>
        <w:tc>
          <w:tcPr>
            <w:tcW w:type="dxa" w:w="6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320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Regulator or supervisory body</w:t>
            </w:r>
          </w:p>
        </w:tc>
        <w:tc>
          <w:tcPr>
            <w:tcW w:type="dxa" w:w="6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320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Products, customers and jurisdictions</w:t>
            </w:r>
          </w:p>
        </w:tc>
        <w:tc>
          <w:tcPr>
            <w:tcW w:type="dxa" w:w="6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r>
        <w:trPr/>
        <w:tc>
          <w:tcPr>
            <w:tcW w:type="dxa" w:w="320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8"/>
              </w:rPr>
              <w:t>Review owner and date</w:t>
            </w:r>
          </w:p>
        </w:tc>
        <w:tc>
          <w:tcPr>
            <w:tcW w:type="dxa" w:w="6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r>
          </w:p>
        </w:tc>
      </w:tr>
    </w:tbl>
    <w:p>
      <w:pPr>
        <w:pStyle w:val="Heading1"/>
      </w:pPr>
      <w:r>
        <w:t>1. Governance and accountable oversight</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Board-approved AML/CFT/CPF programme reflects current law and the actual business</w:t>
              <w:br/>
              <w:t>Record approval date, next review and material changes.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Board and senior management receive meaningful risk and control reporting</w:t>
              <w:br/>
              <w:t>Include trends, breaches, STR governance, testing and remediation.</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Qualified AML compliance officer / MLRO has authority, access and resources</w:t>
              <w:br/>
              <w:t>Document appointment, independence, deputies and escalation.</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Roles across business, operations, compliance, technology and internal audit are clear</w:t>
              <w:br/>
              <w:t>Avoid unowned control handoffs.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Breach, regulatory-change and remediation governance is documented</w:t>
              <w:br/>
              <w:t>Track owners, target dates, overdue actions and risk acceptance.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2. Enterprise and product risk assessment</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R01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Enterprise-wide ML/TF/PF risk assessment is current and evidence-based</w:t>
              <w:br/>
              <w:t>Address inherent risk, controls, residual risk and methodology.</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R02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Customer, product, channel, transaction and geographical risk factors are defined</w:t>
              <w:br/>
              <w:t>Use factors that can be operationalised in onboarding and monitoring.</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R03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New products, material changes and partnerships receive pre-launch assessment</w:t>
              <w:br/>
              <w:t>Connect approval to product governance and change management.</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R04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Risk appetite, prohibitions and enhanced-control triggers are approved</w:t>
              <w:br/>
              <w:t>Translate them into decisions and system rules.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R05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Risk assessment results drive policies, resources, thresholds and testing</w:t>
              <w:br/>
              <w:t>Avoid a stand-alone document with no operational consequence.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3. Customer due diligence and beneficial ownership</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Customer and beneficial-owner identification requirements are documented by customer type</w:t>
              <w:br/>
              <w:t>Include legal persons, arrangements, agents and authorised persons.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Verification uses reliable, independent sources with evidence retained</w:t>
              <w:br/>
              <w:t>Define exception and failed-verification handling.</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Purpose, intended nature and expected activity are captured</w:t>
              <w:br/>
              <w:t>Use the information in risk rating and monitoring.</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Enhanced due diligence and source-of-funds/source-of-wealth triggers are clear</w:t>
              <w:br/>
              <w:t>Set approvals and evidence standards.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Simplified measures, where permitted, are justified by documented lower risk</w:t>
              <w:br/>
              <w:t>Do not treat convenience as a basis.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Periodic and event-driven refresh rules are implemented</w:t>
              <w:br/>
              <w:t>Include ownership, profile, activity and risk changes.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C07</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No anonymous, fictitious or inadequately identified relationships are permitted</w:t>
              <w:br/>
              <w:t>System and operating controls should enforce the rule.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4. PEPs, sanctions and targeted financial sanctions</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S01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PEP identification covers relevant persons, family members and close associates</w:t>
              <w:br/>
              <w:t>Define domestic, foreign and international-organisation treatment as applicable.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S02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Sanctions and targeted-financial-sanctions screening covers customers, owners and transactions</w:t>
              <w:br/>
              <w:t>Record lists, frequency, ownership analysis and decision evidence.</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S03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False positives, potential matches and confirmed matches have documented escalation</w:t>
              <w:br/>
              <w:t>Restrict tipping-off and access to sensitive cases.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S04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Senior-management approval and enhanced monitoring are applied where required</w:t>
              <w:br/>
              <w:t>Preserve evidence of the decision and review.</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S05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List updates and system changes are timely and tested</w:t>
              <w:br/>
              <w:t>Monitor source, ingestion, completeness and failures.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5. Ongoing and transaction monitoring</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M01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Monitoring scenarios reflect the risk assessment, products and funds flows</w:t>
              <w:br/>
              <w:t>Cover velocity, structuring, unusual patterns and relevant typologies.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M02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Thresholds, segmentation and model logic are documented and approved</w:t>
              <w:br/>
              <w:t>Record assumptions, tuning, limitations and change control.</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M03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Alerts are investigated consistently with complete evidence</w:t>
              <w:br/>
              <w:t>Set case quality, escalation and closure requirements.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M04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Backlogs, system failures and data-quality gaps are detected and governed</w:t>
              <w:br/>
              <w:t>Track impact assessment and compensating review.</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M05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Monitoring effectiveness is periodically tested and tuned</w:t>
              <w:br/>
              <w:t>Use outcomes, typologies, false positives and missed-risk analysis.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6. Suspicious activity and regulatory reporting</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T01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Internal suspicion escalation is accessible, protected and understood</w:t>
              <w:br/>
              <w:t>Cover employees, agents and relevant third parties.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T02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Decision-making and external reporting are timely, independent and documented</w:t>
              <w:br/>
              <w:t>Apply current statutory and regulator requirements.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T03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Tipping-off and confidentiality risks are controlled</w:t>
              <w:br/>
              <w:t>Limit access and guide customer-facing teams.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T04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Post-report relationship and transaction decisions are risk-governed</w:t>
              <w:br/>
              <w:t>Coordinate monitoring, restrictions and legal obligations.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T05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All other applicable reports and registrations are identified and calendared</w:t>
              <w:br/>
              <w:t>Confirm reporting status and current submission channels.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7. Records, training and assurance</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Required CDD, transaction, screening, investigation and reporting records are retrievable</w:t>
              <w:br/>
              <w:t>Test completeness, integrity, access and retention.</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Training is role-based, current and supported by completion evidence</w:t>
              <w:br/>
              <w:t>Cover board, management, operations, sales, technology and compliance.</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Independent AML/CFT testing has appropriate scope and competence</w:t>
              <w:br/>
              <w:t>Track findings to verified closure.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Data lineage and system interfaces supporting controls are documented</w:t>
              <w:br/>
              <w:t>Identify source, transformation, exceptions and reconciliation.</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Agents, vendors and outsourced controls are subject to diligence and oversight</w:t>
              <w:br/>
              <w:t>The business should retain effective accountability.</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Programme review responds to law, regulatory feedback, incidents and typologies</w:t>
              <w:br/>
              <w:t>Record what changed and why.</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Priority remediation plan</w:t>
      </w:r>
    </w:p>
    <w:tbl>
      <w:tblPr>
        <w:tblW w:type="dxa" w:w="9360"/>
        <w:jc w:val="left"/>
        <w:tblLayout w:type="fixed"/>
        <w:tblLook w:firstColumn="1" w:firstRow="1" w:lastColumn="0" w:lastRow="0" w:noHBand="0" w:noVBand="1" w:val="04A0"/>
        <w:tblInd w:type="dxa" w:w="120"/>
      </w:tblPr>
      <w:tblGrid>
        <w:gridCol w:w="650"/>
        <w:gridCol w:w="2350"/>
        <w:gridCol w:w="2700"/>
        <w:gridCol w:w="1500"/>
        <w:gridCol w:w="216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23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Gap / risk</w:t>
            </w:r>
          </w:p>
        </w:tc>
        <w:tc>
          <w:tcPr>
            <w:tcW w:type="dxa" w:w="2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Action</w:t>
            </w:r>
          </w:p>
        </w:tc>
        <w:tc>
          <w:tcPr>
            <w:tcW w:type="dxa" w:w="15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w:t>
            </w:r>
          </w:p>
        </w:tc>
        <w:tc>
          <w:tcPr>
            <w:tcW w:type="dxa" w:w="216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Target / evidence</w:t>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P01</w:t>
            </w:r>
          </w:p>
        </w:tc>
        <w:tc>
          <w:tcPr>
            <w:tcW w:type="dxa" w:w="23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5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P02</w:t>
            </w:r>
          </w:p>
        </w:tc>
        <w:tc>
          <w:tcPr>
            <w:tcW w:type="dxa" w:w="23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5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P03</w:t>
            </w:r>
          </w:p>
        </w:tc>
        <w:tc>
          <w:tcPr>
            <w:tcW w:type="dxa" w:w="23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5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P04</w:t>
            </w:r>
          </w:p>
        </w:tc>
        <w:tc>
          <w:tcPr>
            <w:tcW w:type="dxa" w:w="23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5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P05</w:t>
            </w:r>
          </w:p>
        </w:tc>
        <w:tc>
          <w:tcPr>
            <w:tcW w:type="dxa" w:w="23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5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P06</w:t>
            </w:r>
          </w:p>
        </w:tc>
        <w:tc>
          <w:tcPr>
            <w:tcW w:type="dxa" w:w="23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5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P07</w:t>
            </w:r>
          </w:p>
        </w:tc>
        <w:tc>
          <w:tcPr>
            <w:tcW w:type="dxa" w:w="23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15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c>
          <w:tcPr>
            <w:tcW w:type="dxa" w:w="216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Primary sources</w:t>
      </w:r>
    </w:p>
    <w:p>
      <w:pPr>
        <w:spacing w:after="160"/>
      </w:pPr>
      <w:r>
        <w:t>Check the latest official text and regulator guidance before relying on this working aid.</w:t>
      </w:r>
    </w:p>
    <w:tbl>
      <w:tblPr>
        <w:tblW w:type="dxa" w:w="9360"/>
        <w:jc w:val="left"/>
        <w:tblLayout w:type="fixed"/>
        <w:tblLook w:firstColumn="1" w:firstRow="1" w:lastColumn="0" w:lastRow="0" w:noHBand="0" w:noVBand="1" w:val="04A0"/>
        <w:tblInd w:type="dxa" w:w="120"/>
      </w:tblPr>
      <w:tblGrid>
        <w:gridCol w:w="3300"/>
        <w:gridCol w:w="6060"/>
      </w:tblGrid>
      <w:tr>
        <w:trPr>
          <w:tblHeader w:val="true"/>
        </w:trPr>
        <w:tc>
          <w:tcPr>
            <w:tcW w:type="dxa" w:w="3300"/>
            <w:vAlign w:val="center"/>
            <w:shd w:fill="2D073A"/>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8"/>
              </w:rPr>
              <w:t>Source</w:t>
            </w:r>
          </w:p>
        </w:tc>
        <w:tc>
          <w:tcPr>
            <w:tcW w:type="dxa" w:w="6060"/>
            <w:vAlign w:val="center"/>
            <w:shd w:fill="2D073A"/>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8"/>
              </w:rPr>
              <w:t>Official link</w:t>
            </w:r>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Proceeds of Crime and Anti-Money Laundering Act, Cap. 59A</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2">
              <w:r>
                <w:rPr>
                  <w:rFonts w:ascii="Calibri" w:hAnsi="Calibri"/>
                  <w:color w:val="7A4E16"/>
                  <w:u w:val="single"/>
                </w:rPr>
                <w:t>https://new.kenyalaw.org/akn/ke/act/2009/9</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Anti-Money Laundering and Combating of Terrorism Financing Laws (Amendment) Act, 2025</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3">
              <w:r>
                <w:rPr>
                  <w:rFonts w:ascii="Calibri" w:hAnsi="Calibri"/>
                  <w:color w:val="7A4E16"/>
                  <w:u w:val="single"/>
                </w:rPr>
                <w:t>https://new.kenyalaw.org/akn/ke/act/2025/6</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National Payment System Regulations, 2014</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4">
              <w:r>
                <w:rPr>
                  <w:rFonts w:ascii="Calibri" w:hAnsi="Calibri"/>
                  <w:color w:val="7A4E16"/>
                  <w:u w:val="single"/>
                </w:rPr>
                <w:t>https://new.kenyalaw.org/akn/ke/act/ln/2014/109</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Financial Reporting Centre</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5">
              <w:r>
                <w:rPr>
                  <w:rFonts w:ascii="Calibri" w:hAnsi="Calibri"/>
                  <w:color w:val="7A4E16"/>
                  <w:u w:val="single"/>
                </w:rPr>
                <w:t>https://www.frc.go.ke/</w:t>
              </w:r>
            </w:hyperlink>
          </w:p>
        </w:tc>
      </w:tr>
    </w:tbl>
    <w:p>
      <w:pPr>
        <w:pStyle w:val="Heading1"/>
      </w:pPr>
      <w:r>
        <w:t>Permitted use and important notice</w:t>
      </w:r>
    </w:p>
    <w:p>
      <w:pPr>
        <w:spacing w:after="60" w:line="259" w:lineRule="auto"/>
      </w:pPr>
      <w:r>
        <w:rPr>
          <w:rFonts w:ascii="Calibri" w:hAnsi="Calibri"/>
          <w:b/>
          <w:color w:val="2D073A"/>
          <w:sz w:val="18"/>
        </w:rPr>
        <w:t xml:space="preserve">Internal use. </w:t>
      </w:r>
      <w:r>
        <w:rPr>
          <w:rFonts w:ascii="Calibri" w:hAnsi="Calibri"/>
          <w:color w:val="251F28"/>
          <w:sz w:val="18"/>
        </w:rPr>
        <w:t>The original downloader may use and adapt this resource internally for one business or organisation.</w:t>
      </w:r>
    </w:p>
    <w:p>
      <w:pPr>
        <w:spacing w:after="60" w:line="259" w:lineRule="auto"/>
      </w:pPr>
      <w:r>
        <w:rPr>
          <w:rFonts w:ascii="Calibri" w:hAnsi="Calibri"/>
          <w:b/>
          <w:color w:val="2D073A"/>
          <w:sz w:val="18"/>
        </w:rPr>
        <w:t xml:space="preserve">No resale or redistribution. </w:t>
      </w:r>
      <w:r>
        <w:rPr>
          <w:rFonts w:ascii="Calibri" w:hAnsi="Calibri"/>
          <w:color w:val="251F28"/>
          <w:sz w:val="18"/>
        </w:rPr>
        <w:t>It may not be sold, republished, distributed as a competing product or presented as legal advice from the firm.</w:t>
      </w:r>
    </w:p>
    <w:p>
      <w:pPr>
        <w:spacing w:after="60" w:line="259" w:lineRule="auto"/>
      </w:pPr>
      <w:r>
        <w:rPr>
          <w:rFonts w:ascii="Calibri" w:hAnsi="Calibri"/>
          <w:b/>
          <w:color w:val="2D073A"/>
          <w:sz w:val="18"/>
        </w:rPr>
        <w:t xml:space="preserve">No retainer by download. </w:t>
      </w:r>
      <w:r>
        <w:rPr>
          <w:rFonts w:ascii="Calibri" w:hAnsi="Calibri"/>
          <w:color w:val="251F28"/>
          <w:sz w:val="18"/>
        </w:rPr>
        <w:t>Downloading or completing it does not create an advocate-client relationship. No duty to update it is assumed.</w:t>
      </w:r>
    </w:p>
    <w:p>
      <w:pPr>
        <w:spacing w:after="60" w:line="259" w:lineRule="auto"/>
      </w:pPr>
      <w:r>
        <w:rPr>
          <w:rFonts w:ascii="Calibri" w:hAnsi="Calibri"/>
          <w:b/>
          <w:color w:val="2D073A"/>
          <w:sz w:val="18"/>
        </w:rPr>
        <w:t xml:space="preserve">General aid only. </w:t>
      </w:r>
      <w:r>
        <w:rPr>
          <w:rFonts w:ascii="Calibri" w:hAnsi="Calibri"/>
          <w:color w:val="251F28"/>
          <w:sz w:val="18"/>
        </w:rPr>
        <w:t>It is not a substitute for advice based on the complete facts, sector, regulator, transaction and current law.</w:t>
      </w:r>
    </w:p>
    <w:p>
      <w:pPr>
        <w:spacing w:after="60" w:line="259" w:lineRule="auto"/>
      </w:pPr>
      <w:r>
        <w:rPr>
          <w:rFonts w:ascii="Calibri" w:hAnsi="Calibri"/>
          <w:b/>
          <w:color w:val="2D073A"/>
          <w:sz w:val="18"/>
        </w:rPr>
        <w:t xml:space="preserve">Tailored work. </w:t>
      </w:r>
      <w:r>
        <w:rPr>
          <w:rFonts w:ascii="Calibri" w:hAnsi="Calibri"/>
          <w:color w:val="251F28"/>
          <w:sz w:val="18"/>
        </w:rPr>
        <w:t>Request a scope and fee before sharing substantive or confidential information for review.</w:t>
      </w:r>
    </w:p>
    <w:p>
      <w:pPr>
        <w:spacing w:before="100" w:after="0"/>
      </w:pPr>
      <w:r>
        <w:rPr>
          <w:rFonts w:ascii="Calibri" w:hAnsi="Calibri"/>
          <w:b/>
          <w:color w:val="6F696F"/>
          <w:sz w:val="18"/>
        </w:rPr>
        <w:t xml:space="preserve">© 2026 S.N. Nyaga &amp; Company Advocates. </w:t>
      </w:r>
      <w:hyperlink r:id="rId16">
        <w:r>
          <w:rPr>
            <w:rFonts w:ascii="Calibri" w:hAnsi="Calibri"/>
            <w:color w:val="7A4E16"/>
            <w:u w:val="single"/>
          </w:rPr>
          <w:t>Open the Business Document Studio</w:t>
        </w:r>
      </w:hyperlink>
    </w:p>
    <w:sectPr w:rsidR="00FC693F" w:rsidRPr="0006063C" w:rsidSect="00034616">
      <w:headerReference w:type="default" r:id="rId9"/>
      <w:footerReference w:type="default" r:id="rId10"/>
      <w:pgSz w:w="12240" w:h="15840"/>
      <w:pgMar w:top="1181" w:right="1440" w:bottom="1123" w:left="1440" w:header="518"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type="dxa" w:w="0"/>
    </w:tblPr>
    <w:tblGrid>
      <w:gridCol w:w="6760"/>
      <w:gridCol w:w="2600"/>
    </w:tblGrid>
    <w:tr>
      <w:trPr/>
      <w:tc>
        <w:tcPr>
          <w:tcW w:type="dxa" w:w="6760"/>
          <w:tcMar>
            <w:top w:w="0" w:type="dxa"/>
            <w:bottom w:w="0" w:type="dxa"/>
            <w:start w:w="0" w:type="dxa"/>
            <w:end w:w="0" w:type="dxa"/>
          </w:tcMar>
          <w:tcBorders>
            <w:top w:val="single" w:sz="0" w:color="FFFFFF"/>
            <w:left w:val="single" w:sz="0" w:color="FFFFFF"/>
            <w:bottom w:val="single" w:sz="0" w:color="FFFFFF"/>
            <w:right w:val="single" w:sz="0" w:color="FFFFFF"/>
            <w:insideH w:val="single" w:sz="0" w:color="FFFFFF"/>
            <w:insideV w:val="single" w:sz="0" w:color="FFFFFF"/>
          </w:tcBorders>
        </w:tcPr>
        <w:p>
          <w:r>
            <w:rPr>
              <w:rFonts w:ascii="Calibri" w:hAnsi="Calibri"/>
              <w:color w:val="6F696F"/>
              <w:sz w:val="16"/>
            </w:rPr>
            <w:t>snnyagaadvocates.co.ke  |  General working aid</w:t>
          </w:r>
        </w:p>
      </w:tc>
      <w:tc>
        <w:tcPr>
          <w:tcW w:type="dxa" w:w="2600"/>
          <w:tcMar>
            <w:top w:w="0" w:type="dxa"/>
            <w:bottom w:w="0" w:type="dxa"/>
            <w:start w:w="0" w:type="dxa"/>
            <w:end w:w="0" w:type="dxa"/>
          </w:tcMar>
          <w:tcBorders>
            <w:top w:val="single" w:sz="0" w:color="FFFFFF"/>
            <w:left w:val="single" w:sz="0" w:color="FFFFFF"/>
            <w:bottom w:val="single" w:sz="0" w:color="FFFFFF"/>
            <w:right w:val="single" w:sz="0" w:color="FFFFFF"/>
            <w:insideH w:val="single" w:sz="0" w:color="FFFFFF"/>
            <w:insideV w:val="single" w:sz="0" w:color="FFFFFF"/>
          </w:tcBorders>
        </w:tcPr>
        <w:p>
          <w:pPr>
            <w:jc w:val="right"/>
          </w:pPr>
          <w:r>
            <w:rPr>
              <w:rFonts w:ascii="Calibri" w:hAnsi="Calibri"/>
              <w:color w:val="6F696F"/>
              <w:sz w:val="16"/>
            </w:rPr>
            <w:t>Reviewed 31 July 2026</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6F696F"/>
        <w:sz w:val="16"/>
      </w:rPr>
      <w:t>S.N. Nyaga &amp; Company Advocates  |  Business Document Studio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1F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52" w:lineRule="auto"/>
      <w:outlineLvl w:val="0"/>
    </w:pPr>
    <w:rPr>
      <w:rFonts w:asciiTheme="majorHAnsi" w:eastAsiaTheme="majorEastAsia" w:hAnsiTheme="majorHAnsi" w:cstheme="majorBidi" w:ascii="Calibri" w:hAnsi="Calibri"/>
      <w:b/>
      <w:bCs/>
      <w:color w:val="2D073A"/>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52" w:lineRule="auto"/>
      <w:outlineLvl w:val="1"/>
    </w:pPr>
    <w:rPr>
      <w:rFonts w:asciiTheme="majorHAnsi" w:eastAsiaTheme="majorEastAsia" w:hAnsiTheme="majorHAnsi" w:cstheme="majorBidi" w:ascii="Calibri" w:hAnsi="Calibri"/>
      <w:b/>
      <w:bCs/>
      <w:color w:val="2D073A"/>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52" w:lineRule="auto"/>
      <w:outlineLvl w:val="2"/>
    </w:pPr>
    <w:rPr>
      <w:rFonts w:asciiTheme="majorHAnsi" w:eastAsiaTheme="majorEastAsia" w:hAnsiTheme="majorHAnsi" w:cstheme="majorBidi" w:ascii="Calibri" w:hAnsi="Calibri"/>
      <w:b/>
      <w:bCs/>
      <w:color w:val="4011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40" w:line="252" w:lineRule="auto" w:before="0"/>
      <w:contextualSpacing/>
    </w:pPr>
    <w:rPr>
      <w:rFonts w:asciiTheme="majorHAnsi" w:eastAsiaTheme="majorEastAsia" w:hAnsiTheme="majorHAnsi" w:cstheme="majorBidi" w:ascii="Calibri" w:hAnsi="Calibri"/>
      <w:b/>
      <w:color w:val="2D073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52" w:lineRule="auto"/>
    </w:pPr>
    <w:rPr>
      <w:rFonts w:asciiTheme="majorHAnsi" w:eastAsiaTheme="majorEastAsia" w:hAnsiTheme="majorHAnsi" w:cstheme="majorBidi" w:ascii="Calibri" w:hAnsi="Calibri"/>
      <w:b w:val="0"/>
      <w:i/>
      <w:iCs/>
      <w:color w:val="6F696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new.kenyalaw.org/akn/ke/act/2009/9" TargetMode="External"/><Relationship Id="rId13" Type="http://schemas.openxmlformats.org/officeDocument/2006/relationships/hyperlink" Target="https://new.kenyalaw.org/akn/ke/act/2025/6" TargetMode="External"/><Relationship Id="rId14" Type="http://schemas.openxmlformats.org/officeDocument/2006/relationships/hyperlink" Target="https://new.kenyalaw.org/akn/ke/act/ln/2014/109" TargetMode="External"/><Relationship Id="rId15" Type="http://schemas.openxmlformats.org/officeDocument/2006/relationships/hyperlink" Target="https://www.frc.go.ke/" TargetMode="External"/><Relationship Id="rId16" Type="http://schemas.openxmlformats.org/officeDocument/2006/relationships/hyperlink" Target="https://snnyagaadvocates.co.ke/document-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 Nyaga AML CFT Programme Gap Checklist</dc:title>
  <dc:subject>S.N. Nyaga &amp; Company Advocates Business Document Studio</dc:subject>
  <dc:creator>S.N. Nyaga &amp; Company Advocates</dc:creator>
  <cp:keywords>Kenya, legal toolkit, business documents, compliance</cp:keywords>
  <dc:description>generated by python-docx</dc:description>
  <cp:lastModifiedBy/>
  <cp:revision>1</cp:revision>
  <dcterms:created xsi:type="dcterms:W3CDTF">2013-12-23T23:15:00Z</dcterms:created>
  <dcterms:modified xsi:type="dcterms:W3CDTF">2013-12-23T23:15:00Z</dcterms:modified>
  <cp:category/>
</cp:coreProperties>
</file>