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r>
        <w:drawing>
          <wp:inline xmlns:a="http://schemas.openxmlformats.org/drawingml/2006/main" xmlns:pic="http://schemas.openxmlformats.org/drawingml/2006/picture">
            <wp:extent cx="2240280" cy="666361"/>
            <wp:docPr id="1" name="Picture 1"/>
            <wp:cNvGraphicFramePr>
              <a:graphicFrameLocks noChangeAspect="1"/>
            </wp:cNvGraphicFramePr>
            <a:graphic>
              <a:graphicData uri="http://schemas.openxmlformats.org/drawingml/2006/picture">
                <pic:pic>
                  <pic:nvPicPr>
                    <pic:cNvPr id="0" name="firm-logo.png"/>
                    <pic:cNvPicPr/>
                  </pic:nvPicPr>
                  <pic:blipFill>
                    <a:blip r:embed="rId11"/>
                    <a:stretch>
                      <a:fillRect/>
                    </a:stretch>
                  </pic:blipFill>
                  <pic:spPr>
                    <a:xfrm>
                      <a:off x="0" y="0"/>
                      <a:ext cx="2240280" cy="666361"/>
                    </a:xfrm>
                    <a:prstGeom prst="rect"/>
                  </pic:spPr>
                </pic:pic>
              </a:graphicData>
            </a:graphic>
          </wp:inline>
        </w:drawing>
      </w:r>
    </w:p>
    <w:p>
      <w:pPr>
        <w:spacing w:after="100"/>
      </w:pPr>
      <w:r>
        <w:rPr>
          <w:rFonts w:ascii="Calibri" w:hAnsi="Calibri"/>
          <w:b/>
          <w:color w:val="C58B34"/>
          <w:sz w:val="17"/>
        </w:rPr>
        <w:t>BUSINESS DOCUMENT STUDIO  ·  FREE WORKING RESOURCE</w:t>
      </w:r>
    </w:p>
    <w:p>
      <w:pPr>
        <w:pStyle w:val="Title"/>
      </w:pPr>
      <w:r>
        <w:t>Data Protection &amp; DPIA Intake Worksheet</w:t>
      </w:r>
    </w:p>
    <w:p>
      <w:pPr>
        <w:pStyle w:val="Subtitle"/>
      </w:pPr>
      <w:r>
        <w:t>An offline intake tool for scoping high-risk processing and preparing a defensible assessment.</w:t>
      </w:r>
    </w:p>
    <w:tbl>
      <w:tblPr>
        <w:tblW w:type="dxa" w:w="9360"/>
        <w:jc w:val="left"/>
        <w:tblLayout w:type="fixed"/>
        <w:tblLook w:firstColumn="1" w:firstRow="1" w:lastColumn="0" w:lastRow="0" w:noHBand="0" w:noVBand="1" w:val="04A0"/>
        <w:tblInd w:type="dxa" w:w="120"/>
      </w:tblPr>
      <w:tblGrid>
        <w:gridCol w:w="1550"/>
        <w:gridCol w:w="2450"/>
        <w:gridCol w:w="1550"/>
        <w:gridCol w:w="3810"/>
      </w:tblGrid>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JURISDICTION</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Kenya</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LAST REVIEWED</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31 July 2026</w:t>
            </w:r>
          </w:p>
        </w:tc>
      </w:tr>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FORMAT</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Editable Word document</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RESOURCE</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DS–DPIA–01</w:t>
            </w:r>
          </w:p>
        </w:tc>
      </w:tr>
    </w:tbl>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Use offline; do not upload confidential information. </w:t>
            </w:r>
            <w:r>
              <w:rPr>
                <w:rFonts w:ascii="Calibri" w:hAnsi="Calibri"/>
                <w:color w:val="251F28"/>
                <w:sz w:val="19"/>
              </w:rPr>
              <w:t>This resource is designed to be downloaded and completed within your own controlled environment. The firm does not receive, store or review your entries unless you separately instruct it to do so after conflicts and engagement checks.</w:t>
            </w:r>
          </w:p>
        </w:tc>
      </w:tr>
    </w:tbl>
    <w:p>
      <w:pPr>
        <w:spacing w:after="40"/>
      </w:pPr>
    </w:p>
    <w:p>
      <w:pPr>
        <w:pStyle w:val="Heading1"/>
      </w:pPr>
      <w:r>
        <w:t>Purpose</w:t>
      </w:r>
    </w:p>
    <w:p>
      <w:r>
        <w:t>Section 31 of Kenya's Data Protection Act requires a data protection impact assessment before processing that is likely to result in high risk to data subjects' rights and freedoms. This worksheet gathers the facts needed to decide the assessment path and begin a DPIA. It is not itself a completed DPIA.</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Decision gate. </w:t>
            </w:r>
            <w:r>
              <w:rPr>
                <w:rFonts w:ascii="Calibri" w:hAnsi="Calibri"/>
                <w:color w:val="251F28"/>
                <w:sz w:val="19"/>
              </w:rPr>
              <w:t>Do not commence high-risk processing until the required DPIA, approvals, safeguards and any necessary consultation have been completed.</w:t>
            </w:r>
          </w:p>
        </w:tc>
      </w:tr>
    </w:tbl>
    <w:p>
      <w:pPr>
        <w:spacing w:after="40"/>
      </w:pPr>
    </w:p>
    <w:p>
      <w:pPr>
        <w:pStyle w:val="Heading1"/>
      </w:pPr>
      <w:r>
        <w:t>1. Project and ownership</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1.1  Project, product or change name</w:t>
            </w:r>
            <w:r>
              <w:rPr>
                <w:rFonts w:ascii="Calibri" w:hAnsi="Calibri"/>
                <w:i/>
                <w:color w:val="6F696F"/>
                <w:sz w:val="17"/>
              </w:rPr>
              <w:br/>
              <w:t>Use a stable name that also appears in governance and change records.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1.2  Business owner, privacy lead, security lead and decision forum</w:t>
            </w:r>
            <w:r>
              <w:rPr>
                <w:rFonts w:ascii="Calibri" w:hAnsi="Calibri"/>
                <w:i/>
                <w:color w:val="6F696F"/>
                <w:sz w:val="17"/>
              </w:rPr>
              <w:br/>
              <w:t>Record names or roles and who may accept residual risk.</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1.3  Proposed launch or processing date</w:t>
            </w:r>
            <w:r>
              <w:rPr>
                <w:rFonts w:ascii="Calibri" w:hAnsi="Calibri"/>
                <w:i/>
                <w:color w:val="6F696F"/>
                <w:sz w:val="17"/>
              </w:rPr>
              <w:br/>
              <w:t>Include any pilot, migration, testing or soft-launch activity.</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1.4  What decision, service or outcome will the processing enable?</w:t>
            </w:r>
            <w:r>
              <w:rPr>
                <w:rFonts w:ascii="Calibri" w:hAnsi="Calibri"/>
                <w:i/>
                <w:color w:val="6F696F"/>
                <w:sz w:val="17"/>
              </w:rPr>
              <w:br/>
              <w:t>Describe the operational purpose in plain language.</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p>
      <w:pPr>
        <w:pStyle w:val="Heading1"/>
      </w:pPr>
      <w:r>
        <w:t>2. High-risk screening</w:t>
      </w:r>
    </w:p>
    <w:p>
      <w:r>
        <w:t>Mark each indicator and explain any 'Yes' or 'Unsure' response. The complete nature, scope, context and purpose must still be assessed.</w:t>
      </w:r>
    </w:p>
    <w:tbl>
      <w:tblPr>
        <w:tblW w:type="dxa" w:w="9360"/>
        <w:jc w:val="left"/>
        <w:tblLayout w:type="fixed"/>
        <w:tblLook w:firstColumn="1" w:firstRow="1" w:lastColumn="0" w:lastRow="0" w:noHBand="0" w:noVBand="1" w:val="04A0"/>
        <w:tblInd w:type="dxa" w:w="120"/>
      </w:tblPr>
      <w:tblGrid>
        <w:gridCol w:w="5280"/>
        <w:gridCol w:w="650"/>
        <w:gridCol w:w="650"/>
        <w:gridCol w:w="2780"/>
      </w:tblGrid>
      <w:tr>
        <w:trPr>
          <w:tblHeader w:val="true"/>
        </w:trPr>
        <w:tc>
          <w:tcPr>
            <w:tcW w:type="dxa" w:w="528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Indicator</w:t>
            </w:r>
          </w:p>
        </w:tc>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Yes</w:t>
            </w:r>
          </w:p>
        </w:tc>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No</w:t>
            </w:r>
          </w:p>
        </w:tc>
        <w:tc>
          <w:tcPr>
            <w:tcW w:type="dxa" w:w="278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Unsure / explanation</w:t>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1. Automated decision-making or profiling with significant effects</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2. Biometric or genetic data</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 Sensitive personal data, children's data or vulnerable data subjects</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4. Large-scale processing or systematic monitoring</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5. Matching or combining datasets from different sources or purposes</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6. Innovative technology, novel use or materially changed processing</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7. Processing that may prevent or materially impair a data-subject right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cantSplit/>
        </w:trPr>
        <w:tc>
          <w:tcPr>
            <w:tcW w:type="dxa" w:w="52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8. Cross-border, public-area monitoring or another context increasing risk</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jc w:val="center"/>
            </w:pPr>
            <w:r>
              <w:rPr>
                <w:rFonts w:ascii="Calibri" w:hAnsi="Calibri"/>
                <w:b w:val="0"/>
                <w:color w:val="251F28"/>
                <w:sz w:val="18"/>
              </w:rPr>
              <w:t>☐</w:t>
            </w:r>
          </w:p>
        </w:tc>
        <w:tc>
          <w:tcPr>
            <w:tcW w:type="dxa" w:w="27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bl>
    <w:p>
      <w:pPr>
        <w:pStyle w:val="Heading1"/>
      </w:pPr>
      <w:r>
        <w:t>3. Processing description and data flow</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3.1  Describe the processing from collection to deletion</w:t>
            </w:r>
            <w:r>
              <w:rPr>
                <w:rFonts w:ascii="Calibri" w:hAnsi="Calibri"/>
                <w:i/>
                <w:color w:val="6F696F"/>
                <w:sz w:val="17"/>
              </w:rPr>
              <w:br/>
              <w:t>Include collection, inference, matching, access, sharing, storage, backup, archive and deletion.</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3.2  List data subjects and personal-data categories</w:t>
            </w:r>
            <w:r>
              <w:rPr>
                <w:rFonts w:ascii="Calibri" w:hAnsi="Calibri"/>
                <w:i/>
                <w:color w:val="6F696F"/>
                <w:sz w:val="17"/>
              </w:rPr>
              <w:br/>
              <w:t>Separate ordinary, sensitive, biometric, children's and inferred data.</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3.3  Identify every system, vendor, recipient and location</w:t>
            </w:r>
            <w:r>
              <w:rPr>
                <w:rFonts w:ascii="Calibri" w:hAnsi="Calibri"/>
                <w:i/>
                <w:color w:val="6F696F"/>
                <w:sz w:val="17"/>
              </w:rPr>
              <w:br/>
              <w:t>Include testing, support, logs, subprocessors and remote access.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3.4  Attach or reference the current data-flow diagram</w:t>
            </w:r>
            <w:r>
              <w:rPr>
                <w:rFonts w:ascii="Calibri" w:hAnsi="Calibri"/>
                <w:i/>
                <w:color w:val="6F696F"/>
                <w:sz w:val="17"/>
              </w:rPr>
              <w:br/>
              <w:t>Record the controlled file name and version.</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r>
          </w:p>
        </w:tc>
      </w:tr>
    </w:tbl>
    <w:p>
      <w:pPr>
        <w:spacing w:after="20"/>
      </w:pPr>
    </w:p>
    <w:p>
      <w:r>
        <w:br w:type="page"/>
      </w:r>
    </w:p>
    <w:p>
      <w:pPr>
        <w:pStyle w:val="Heading1"/>
      </w:pPr>
      <w:r>
        <w:t>4. Purpose, lawful basis, necessity and proportionality</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4.1  State each specific processing purpose</w:t>
            </w:r>
            <w:r>
              <w:rPr>
                <w:rFonts w:ascii="Calibri" w:hAnsi="Calibri"/>
                <w:i/>
                <w:color w:val="6F696F"/>
                <w:sz w:val="17"/>
              </w:rPr>
              <w:br/>
              <w:t>Avoid bundling unrelated purposes.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4.2  Identify and evidence the proposed lawful basis for each purpose</w:t>
            </w:r>
            <w:r>
              <w:rPr>
                <w:rFonts w:ascii="Calibri" w:hAnsi="Calibri"/>
                <w:i/>
                <w:color w:val="6F696F"/>
                <w:sz w:val="17"/>
              </w:rPr>
              <w:br/>
              <w:t>Consent is not automatically the appropriate basis.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4.3  Why is each data item and processing step necessary?</w:t>
            </w:r>
            <w:r>
              <w:rPr>
                <w:rFonts w:ascii="Calibri" w:hAnsi="Calibri"/>
                <w:i/>
                <w:color w:val="6F696F"/>
                <w:sz w:val="17"/>
              </w:rPr>
              <w:br/>
              <w:t>Identify less intrusive alternatives considered and why they are insufficient.</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4.4  How will fairness, transparency and reasonable expectations be addressed?</w:t>
            </w:r>
            <w:r>
              <w:rPr>
                <w:rFonts w:ascii="Calibri" w:hAnsi="Calibri"/>
                <w:i/>
                <w:color w:val="6F696F"/>
                <w:sz w:val="17"/>
              </w:rPr>
              <w:br/>
              <w:t>Reference notices, choices, explanations and customer communications.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4.5  How will data minimisation, accuracy, retention and purpose limitation be enforced?</w:t>
            </w:r>
            <w:r>
              <w:rPr>
                <w:rFonts w:ascii="Calibri" w:hAnsi="Calibri"/>
                <w:i/>
                <w:color w:val="6F696F"/>
                <w:sz w:val="17"/>
              </w:rPr>
              <w:br/>
              <w:t>Name system and operating controls, not policy intentions alone.</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5. Rights, security and third parties</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5.1  How can data subjects exercise access, correction, deletion, objection and other applicable rights?</w:t>
            </w:r>
            <w:r>
              <w:rPr>
                <w:rFonts w:ascii="Calibri" w:hAnsi="Calibri"/>
                <w:i/>
                <w:color w:val="6F696F"/>
                <w:sz w:val="17"/>
              </w:rPr>
              <w:br/>
              <w:t>Test identity verification, search, exceptions, decisions and response time.</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5.2  Describe security and privacy controls</w:t>
            </w:r>
            <w:r>
              <w:rPr>
                <w:rFonts w:ascii="Calibri" w:hAnsi="Calibri"/>
                <w:i/>
                <w:color w:val="6F696F"/>
                <w:sz w:val="17"/>
              </w:rPr>
              <w:br/>
              <w:t>Cover access, encryption, logging, monitoring, testing, incident response and privacy by design/default.</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5.3  Identify controller/processor roles and contract status</w:t>
            </w:r>
            <w:r>
              <w:rPr>
                <w:rFonts w:ascii="Calibri" w:hAnsi="Calibri"/>
                <w:i/>
                <w:color w:val="6F696F"/>
                <w:sz w:val="17"/>
              </w:rPr>
              <w:br/>
              <w:t>Reference signed data-processing, data-sharing and cross-border arrangements.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5.4  Describe breach detection, assessment and notification arrangements</w:t>
            </w:r>
            <w:r>
              <w:rPr>
                <w:rFonts w:ascii="Calibri" w:hAnsi="Calibri"/>
                <w:i/>
                <w:color w:val="6F696F"/>
                <w:sz w:val="17"/>
              </w:rPr>
              <w:br/>
              <w:t>Identify evidence, contacts, decision authority and communication paths.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6. Risk and controls record</w:t>
      </w:r>
    </w:p>
    <w:tbl>
      <w:tblPr>
        <w:tblW w:type="dxa" w:w="9360"/>
        <w:jc w:val="left"/>
        <w:tblLayout w:type="fixed"/>
        <w:tblLook w:firstColumn="1" w:firstRow="1" w:lastColumn="0" w:lastRow="0" w:noHBand="0" w:noVBand="1" w:val="04A0"/>
        <w:tblInd w:type="dxa" w:w="120"/>
      </w:tblPr>
      <w:tblGrid>
        <w:gridCol w:w="650"/>
        <w:gridCol w:w="3030"/>
        <w:gridCol w:w="1150"/>
        <w:gridCol w:w="1150"/>
        <w:gridCol w:w="338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303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Risk to individuals</w:t>
            </w:r>
          </w:p>
        </w:tc>
        <w:tc>
          <w:tcPr>
            <w:tcW w:type="dxa" w:w="11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Likelihood</w:t>
            </w:r>
          </w:p>
        </w:tc>
        <w:tc>
          <w:tcPr>
            <w:tcW w:type="dxa" w:w="11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Impact</w:t>
            </w:r>
          </w:p>
        </w:tc>
        <w:tc>
          <w:tcPr>
            <w:tcW w:type="dxa" w:w="338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Control / owner / residual risk</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R01</w:t>
            </w:r>
          </w:p>
        </w:tc>
        <w:tc>
          <w:tcPr>
            <w:tcW w:type="dxa" w:w="303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33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R02</w:t>
            </w:r>
          </w:p>
        </w:tc>
        <w:tc>
          <w:tcPr>
            <w:tcW w:type="dxa" w:w="303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33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R03</w:t>
            </w:r>
          </w:p>
        </w:tc>
        <w:tc>
          <w:tcPr>
            <w:tcW w:type="dxa" w:w="303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33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R04</w:t>
            </w:r>
          </w:p>
        </w:tc>
        <w:tc>
          <w:tcPr>
            <w:tcW w:type="dxa" w:w="303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33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R05</w:t>
            </w:r>
          </w:p>
        </w:tc>
        <w:tc>
          <w:tcPr>
            <w:tcW w:type="dxa" w:w="303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33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R06</w:t>
            </w:r>
          </w:p>
        </w:tc>
        <w:tc>
          <w:tcPr>
            <w:tcW w:type="dxa" w:w="303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11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L / M / H</w:t>
            </w:r>
          </w:p>
        </w:tc>
        <w:tc>
          <w:tcPr>
            <w:tcW w:type="dxa" w:w="338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7. Consultation, decision and sign-off</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7.1  Who was consulted?</w:t>
            </w:r>
            <w:r>
              <w:rPr>
                <w:rFonts w:ascii="Calibri" w:hAnsi="Calibri"/>
                <w:i/>
                <w:color w:val="6F696F"/>
                <w:sz w:val="17"/>
              </w:rPr>
              <w:br/>
              <w:t>Consider data subjects or representatives, the privacy lead, security, legal, operations and relevant vendors.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7.2  Decision and required conditions</w:t>
            </w:r>
            <w:r>
              <w:rPr>
                <w:rFonts w:ascii="Calibri" w:hAnsi="Calibri"/>
                <w:i/>
                <w:color w:val="6F696F"/>
                <w:sz w:val="17"/>
              </w:rPr>
              <w:br/>
              <w:t>Approve / approve with actions / redesign / stop / seek further consultation.</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7.3  Residual risks, accepting authority and review trigger</w:t>
            </w:r>
            <w:r>
              <w:rPr>
                <w:rFonts w:ascii="Calibri" w:hAnsi="Calibri"/>
                <w:i/>
                <w:color w:val="6F696F"/>
                <w:sz w:val="17"/>
              </w:rPr>
              <w:br/>
              <w:t>Record review dates and triggers such as new data, models, vendors, purposes or incidents.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p>
      <w:pPr>
        <w:pStyle w:val="Heading1"/>
      </w:pPr>
      <w:r>
        <w:t>Primary sources</w:t>
      </w:r>
    </w:p>
    <w:p>
      <w:pPr>
        <w:spacing w:after="160"/>
      </w:pPr>
      <w:r>
        <w:t>Check the latest official text and regulator guidance before relying on this working aid.</w:t>
      </w:r>
    </w:p>
    <w:tbl>
      <w:tblPr>
        <w:tblW w:type="dxa" w:w="9360"/>
        <w:jc w:val="left"/>
        <w:tblLayout w:type="fixed"/>
        <w:tblLook w:firstColumn="1" w:firstRow="1" w:lastColumn="0" w:lastRow="0" w:noHBand="0" w:noVBand="1" w:val="04A0"/>
        <w:tblInd w:type="dxa" w:w="120"/>
      </w:tblPr>
      <w:tblGrid>
        <w:gridCol w:w="3300"/>
        <w:gridCol w:w="6060"/>
      </w:tblGrid>
      <w:tr>
        <w:trPr>
          <w:tblHeader w:val="true"/>
        </w:trPr>
        <w:tc>
          <w:tcPr>
            <w:tcW w:type="dxa" w:w="330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Source</w:t>
            </w:r>
          </w:p>
        </w:tc>
        <w:tc>
          <w:tcPr>
            <w:tcW w:type="dxa" w:w="606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Official link</w:t>
            </w:r>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Protection Act, 2019 — section 31</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2">
              <w:r>
                <w:rPr>
                  <w:rFonts w:ascii="Calibri" w:hAnsi="Calibri"/>
                  <w:color w:val="7A4E16"/>
                  <w:u w:val="single"/>
                </w:rPr>
                <w:t>https://new.kenyalaw.org/akn/ke/act/2019/24</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Protection (General) Regulations, 2021</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3">
              <w:r>
                <w:rPr>
                  <w:rFonts w:ascii="Calibri" w:hAnsi="Calibri"/>
                  <w:color w:val="7A4E16"/>
                  <w:u w:val="single"/>
                </w:rPr>
                <w:t>https://new.kenyalaw.org/akn/ke/act/ln/2021/263</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Office of the Data Protection Commissioner — Guidance</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4">
              <w:r>
                <w:rPr>
                  <w:rFonts w:ascii="Calibri" w:hAnsi="Calibri"/>
                  <w:color w:val="7A4E16"/>
                  <w:u w:val="single"/>
                </w:rPr>
                <w:t>https://www.odpc.go.ke/guidelines-2/</w:t>
              </w:r>
            </w:hyperlink>
          </w:p>
        </w:tc>
      </w:tr>
    </w:tbl>
    <w:p>
      <w:pPr>
        <w:pStyle w:val="Heading1"/>
      </w:pPr>
      <w:r>
        <w:t>Permitted use and important notice</w:t>
      </w:r>
    </w:p>
    <w:p>
      <w:pPr>
        <w:spacing w:after="60" w:line="259" w:lineRule="auto"/>
      </w:pPr>
      <w:r>
        <w:rPr>
          <w:rFonts w:ascii="Calibri" w:hAnsi="Calibri"/>
          <w:b/>
          <w:color w:val="2D073A"/>
          <w:sz w:val="18"/>
        </w:rPr>
        <w:t xml:space="preserve">Internal use. </w:t>
      </w:r>
      <w:r>
        <w:rPr>
          <w:rFonts w:ascii="Calibri" w:hAnsi="Calibri"/>
          <w:color w:val="251F28"/>
          <w:sz w:val="18"/>
        </w:rPr>
        <w:t>The original downloader may use and adapt this resource internally for one business or organisation.</w:t>
      </w:r>
    </w:p>
    <w:p>
      <w:pPr>
        <w:spacing w:after="60" w:line="259" w:lineRule="auto"/>
      </w:pPr>
      <w:r>
        <w:rPr>
          <w:rFonts w:ascii="Calibri" w:hAnsi="Calibri"/>
          <w:b/>
          <w:color w:val="2D073A"/>
          <w:sz w:val="18"/>
        </w:rPr>
        <w:t xml:space="preserve">No resale or redistribution. </w:t>
      </w:r>
      <w:r>
        <w:rPr>
          <w:rFonts w:ascii="Calibri" w:hAnsi="Calibri"/>
          <w:color w:val="251F28"/>
          <w:sz w:val="18"/>
        </w:rPr>
        <w:t>It may not be sold, republished, distributed as a competing product or presented as legal advice from the firm.</w:t>
      </w:r>
    </w:p>
    <w:p>
      <w:pPr>
        <w:spacing w:after="60" w:line="259" w:lineRule="auto"/>
      </w:pPr>
      <w:r>
        <w:rPr>
          <w:rFonts w:ascii="Calibri" w:hAnsi="Calibri"/>
          <w:b/>
          <w:color w:val="2D073A"/>
          <w:sz w:val="18"/>
        </w:rPr>
        <w:t xml:space="preserve">No retainer by download. </w:t>
      </w:r>
      <w:r>
        <w:rPr>
          <w:rFonts w:ascii="Calibri" w:hAnsi="Calibri"/>
          <w:color w:val="251F28"/>
          <w:sz w:val="18"/>
        </w:rPr>
        <w:t>Downloading or completing it does not create an advocate-client relationship. No duty to update it is assumed.</w:t>
      </w:r>
    </w:p>
    <w:p>
      <w:pPr>
        <w:spacing w:after="60" w:line="259" w:lineRule="auto"/>
      </w:pPr>
      <w:r>
        <w:rPr>
          <w:rFonts w:ascii="Calibri" w:hAnsi="Calibri"/>
          <w:b/>
          <w:color w:val="2D073A"/>
          <w:sz w:val="18"/>
        </w:rPr>
        <w:t xml:space="preserve">General aid only. </w:t>
      </w:r>
      <w:r>
        <w:rPr>
          <w:rFonts w:ascii="Calibri" w:hAnsi="Calibri"/>
          <w:color w:val="251F28"/>
          <w:sz w:val="18"/>
        </w:rPr>
        <w:t>It is not a substitute for advice based on the complete facts, sector, regulator, transaction and current law.</w:t>
      </w:r>
    </w:p>
    <w:p>
      <w:pPr>
        <w:spacing w:after="60" w:line="259" w:lineRule="auto"/>
      </w:pPr>
      <w:r>
        <w:rPr>
          <w:rFonts w:ascii="Calibri" w:hAnsi="Calibri"/>
          <w:b/>
          <w:color w:val="2D073A"/>
          <w:sz w:val="18"/>
        </w:rPr>
        <w:t xml:space="preserve">Tailored work. </w:t>
      </w:r>
      <w:r>
        <w:rPr>
          <w:rFonts w:ascii="Calibri" w:hAnsi="Calibri"/>
          <w:color w:val="251F28"/>
          <w:sz w:val="18"/>
        </w:rPr>
        <w:t>Request a scope and fee before sharing substantive or confidential information for review.</w:t>
      </w:r>
    </w:p>
    <w:p>
      <w:pPr>
        <w:spacing w:before="100" w:after="0"/>
      </w:pPr>
      <w:r>
        <w:rPr>
          <w:rFonts w:ascii="Calibri" w:hAnsi="Calibri"/>
          <w:b/>
          <w:color w:val="6F696F"/>
          <w:sz w:val="18"/>
        </w:rPr>
        <w:t xml:space="preserve">© 2026 S.N. Nyaga &amp; Company Advocates. </w:t>
      </w:r>
      <w:hyperlink r:id="rId15">
        <w:r>
          <w:rPr>
            <w:rFonts w:ascii="Calibri" w:hAnsi="Calibri"/>
            <w:color w:val="7A4E16"/>
            <w:u w:val="single"/>
          </w:rPr>
          <w:t>Open the Business Document Studio</w:t>
        </w:r>
      </w:hyperlink>
    </w:p>
    <w:sectPr w:rsidR="00FC693F" w:rsidRPr="0006063C" w:rsidSect="00034616">
      <w:headerReference w:type="default" r:id="rId9"/>
      <w:footerReference w:type="default" r:id="rId10"/>
      <w:pgSz w:w="12240" w:h="15840"/>
      <w:pgMar w:top="1181"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6760"/>
      <w:gridCol w:w="2600"/>
    </w:tblGrid>
    <w:tr>
      <w:trPr/>
      <w:tc>
        <w:tcPr>
          <w:tcW w:type="dxa" w:w="676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r>
            <w:rPr>
              <w:rFonts w:ascii="Calibri" w:hAnsi="Calibri"/>
              <w:color w:val="6F696F"/>
              <w:sz w:val="16"/>
            </w:rPr>
            <w:t>snnyagaadvocates.co.ke  |  General working aid</w:t>
          </w:r>
        </w:p>
      </w:tc>
      <w:tc>
        <w:tcPr>
          <w:tcW w:type="dxa" w:w="260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pPr>
            <w:jc w:val="right"/>
          </w:pPr>
          <w:r>
            <w:rPr>
              <w:rFonts w:ascii="Calibri" w:hAnsi="Calibri"/>
              <w:color w:val="6F696F"/>
              <w:sz w:val="16"/>
            </w:rPr>
            <w:t>Reviewed 31 July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6F696F"/>
        <w:sz w:val="16"/>
      </w:rPr>
      <w:t>S.N. Nyaga &amp; Company Advocates  |  Business Document Studio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1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Calibri" w:hAnsi="Calibri"/>
      <w:b/>
      <w:bCs/>
      <w:color w:val="2D073A"/>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Theme="majorHAnsi" w:eastAsiaTheme="majorEastAsia" w:hAnsiTheme="majorHAnsi" w:cstheme="majorBidi" w:ascii="Calibri" w:hAnsi="Calibri"/>
      <w:b/>
      <w:bCs/>
      <w:color w:val="2D073A"/>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Calibri" w:hAnsi="Calibri"/>
      <w:b/>
      <w:bCs/>
      <w:color w:val="4011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40" w:line="252" w:lineRule="auto" w:before="0"/>
      <w:contextualSpacing/>
    </w:pPr>
    <w:rPr>
      <w:rFonts w:asciiTheme="majorHAnsi" w:eastAsiaTheme="majorEastAsia" w:hAnsiTheme="majorHAnsi" w:cstheme="majorBidi" w:ascii="Calibri" w:hAnsi="Calibri"/>
      <w:b/>
      <w:color w:val="2D07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52" w:lineRule="auto"/>
    </w:pPr>
    <w:rPr>
      <w:rFonts w:asciiTheme="majorHAnsi" w:eastAsiaTheme="majorEastAsia" w:hAnsiTheme="majorHAnsi" w:cstheme="majorBidi" w:ascii="Calibri" w:hAnsi="Calibri"/>
      <w:b w:val="0"/>
      <w:i/>
      <w:iCs/>
      <w:color w:val="6F696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new.kenyalaw.org/akn/ke/act/2019/24" TargetMode="External"/><Relationship Id="rId13" Type="http://schemas.openxmlformats.org/officeDocument/2006/relationships/hyperlink" Target="https://new.kenyalaw.org/akn/ke/act/ln/2021/263" TargetMode="External"/><Relationship Id="rId14" Type="http://schemas.openxmlformats.org/officeDocument/2006/relationships/hyperlink" Target="https://www.odpc.go.ke/guidelines-2/" TargetMode="External"/><Relationship Id="rId15" Type="http://schemas.openxmlformats.org/officeDocument/2006/relationships/hyperlink" Target="https://snnyagaadvocates.co.ke/document-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Nyaga Data Protection DPIA Intake Worksheet</dc:title>
  <dc:subject>S.N. Nyaga &amp; Company Advocates Business Document Studio</dc:subject>
  <dc:creator>S.N. Nyaga &amp; Company Advocates</dc:creator>
  <cp:keywords>Kenya, legal toolkit, business documents, compliance</cp:keywords>
  <dc:description>generated by python-docx</dc:description>
  <cp:lastModifiedBy/>
  <cp:revision>1</cp:revision>
  <dcterms:created xsi:type="dcterms:W3CDTF">2013-12-23T23:15:00Z</dcterms:created>
  <dcterms:modified xsi:type="dcterms:W3CDTF">2013-12-23T23:15:00Z</dcterms:modified>
  <cp:category/>
</cp:coreProperties>
</file>