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r>
        <w:drawing>
          <wp:inline xmlns:a="http://schemas.openxmlformats.org/drawingml/2006/main" xmlns:pic="http://schemas.openxmlformats.org/drawingml/2006/picture">
            <wp:extent cx="2240280" cy="666361"/>
            <wp:docPr id="1" name="Picture 1"/>
            <wp:cNvGraphicFramePr>
              <a:graphicFrameLocks noChangeAspect="1"/>
            </wp:cNvGraphicFramePr>
            <a:graphic>
              <a:graphicData uri="http://schemas.openxmlformats.org/drawingml/2006/picture">
                <pic:pic>
                  <pic:nvPicPr>
                    <pic:cNvPr id="0" name="firm-logo.png"/>
                    <pic:cNvPicPr/>
                  </pic:nvPicPr>
                  <pic:blipFill>
                    <a:blip r:embed="rId11"/>
                    <a:stretch>
                      <a:fillRect/>
                    </a:stretch>
                  </pic:blipFill>
                  <pic:spPr>
                    <a:xfrm>
                      <a:off x="0" y="0"/>
                      <a:ext cx="2240280" cy="666361"/>
                    </a:xfrm>
                    <a:prstGeom prst="rect"/>
                  </pic:spPr>
                </pic:pic>
              </a:graphicData>
            </a:graphic>
          </wp:inline>
        </w:drawing>
      </w:r>
    </w:p>
    <w:p>
      <w:pPr>
        <w:spacing w:after="100"/>
      </w:pPr>
      <w:r>
        <w:rPr>
          <w:rFonts w:ascii="Calibri" w:hAnsi="Calibri"/>
          <w:b/>
          <w:color w:val="C58B34"/>
          <w:sz w:val="17"/>
        </w:rPr>
        <w:t>BUSINESS DOCUMENT STUDIO  ·  FREE WORKING RESOURCE</w:t>
      </w:r>
    </w:p>
    <w:p>
      <w:pPr>
        <w:pStyle w:val="Title"/>
      </w:pPr>
      <w:r>
        <w:t>Fintech Vendor Due-Diligence Checklist</w:t>
      </w:r>
    </w:p>
    <w:p>
      <w:pPr>
        <w:pStyle w:val="Subtitle"/>
      </w:pPr>
      <w:r>
        <w:t>A structured review aid for critical technology, onboarding, data and payment-service providers.</w:t>
      </w:r>
    </w:p>
    <w:tbl>
      <w:tblPr>
        <w:tblW w:type="dxa" w:w="9360"/>
        <w:jc w:val="left"/>
        <w:tblLayout w:type="fixed"/>
        <w:tblLook w:firstColumn="1" w:firstRow="1" w:lastColumn="0" w:lastRow="0" w:noHBand="0" w:noVBand="1" w:val="04A0"/>
        <w:tblInd w:type="dxa" w:w="120"/>
      </w:tblPr>
      <w:tblGrid>
        <w:gridCol w:w="1550"/>
        <w:gridCol w:w="2450"/>
        <w:gridCol w:w="1550"/>
        <w:gridCol w:w="3810"/>
      </w:tblGrid>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JURISDICTION</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Kenya</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LAST REVIEWED</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31 July 2026</w:t>
            </w:r>
          </w:p>
        </w:tc>
      </w:tr>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FORMAT</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Editable Word document</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RESOURCE</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DS–VDD–01</w:t>
            </w:r>
          </w:p>
        </w:tc>
      </w:tr>
    </w:tbl>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Use offline; do not upload confidential information. </w:t>
            </w:r>
            <w:r>
              <w:rPr>
                <w:rFonts w:ascii="Calibri" w:hAnsi="Calibri"/>
                <w:color w:val="251F28"/>
                <w:sz w:val="19"/>
              </w:rPr>
              <w:t>This resource is designed to be downloaded and completed within your own controlled environment. The firm does not receive, store or review your entries unless you separately instruct it to do so after conflicts and engagement checks.</w:t>
            </w:r>
          </w:p>
        </w:tc>
      </w:tr>
    </w:tbl>
    <w:p>
      <w:pPr>
        <w:spacing w:after="40"/>
      </w:pPr>
    </w:p>
    <w:p>
      <w:pPr>
        <w:pStyle w:val="Heading1"/>
      </w:pPr>
      <w:r>
        <w:t>Use this before contracting—and during the relationship</w:t>
      </w:r>
    </w:p>
    <w:p>
      <w:r>
        <w:t>The checklist helps a Kenyan fintech or regulated business identify evidence to request, questions to resolve and contractual controls to negotiate. Scale the review to the service's criticality, data access, funds flow, substitutability and regulatory impact. A completed checklist is not approval of the vendor.</w:t>
      </w:r>
    </w:p>
    <w:p>
      <w:pPr>
        <w:pStyle w:val="Heading2"/>
      </w:pPr>
      <w:r>
        <w:t>Review profile</w:t>
      </w:r>
    </w:p>
    <w:tbl>
      <w:tblPr>
        <w:tblW w:type="dxa" w:w="9360"/>
        <w:jc w:val="left"/>
        <w:tblLayout w:type="fixed"/>
        <w:tblLook w:firstColumn="1" w:firstRow="1" w:lastColumn="0" w:lastRow="0" w:noHBand="0" w:noVBand="1" w:val="04A0"/>
        <w:tblInd w:type="dxa" w:w="120"/>
      </w:tblPr>
      <w:tblGrid>
        <w:gridCol w:w="2850"/>
        <w:gridCol w:w="6510"/>
      </w:tblGrid>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Vendor and service</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Business owner</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Critical function / material outsourcing</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 Yes   ☐ No   ☐ To be assessed</w:t>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Personal data / customer funds / production access</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Initial review / renewal / material change</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bl>
    <w:p>
      <w:pPr>
        <w:pStyle w:val="Heading1"/>
      </w:pPr>
      <w:r>
        <w:t>1. Identity, authority and ownership</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Legal name, registration, registered office and operating locations verified</w:t>
              <w:br/>
              <w:t>Obtain current official records and reconcile contracting details.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Ownership, beneficial owners and group structure understood</w:t>
              <w:br/>
              <w:t>Identify control, affiliates and material changes.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Required licences, approvals and certifications verified</w:t>
              <w:br/>
              <w:t>Confirm scope, conditions, expiry and public-register status.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Directors, key management and conflicts screened</w:t>
              <w:br/>
              <w:t>Calibrate screening to criticality and risk.</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Litigation, enforcement, insolvency and adverse events reviewed</w:t>
              <w:br/>
              <w:t>Ask for disclosure and independently verify material issues.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2. Service criticality and regulatory fit</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Service scope and business dependency precisely described</w:t>
              <w:br/>
              <w:t>Identify what fails if the service is unavailable or incorrect.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Regulatory obligations affected by the service mapped</w:t>
              <w:br/>
              <w:t>Outsourcing does not necessarily outsource accountability.</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Customer, funds, data and system flows documented</w:t>
              <w:br/>
              <w:t>Include subprocessors and fourth parties.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Concentration, substitutability and exit difficulty assessed</w:t>
              <w:br/>
              <w:t>Consider provider, region, technology and skill concentration.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Internal accountable owner and oversight forum assigned</w:t>
              <w:br/>
              <w:t>Set reporting, challenge and renewal responsibility.</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3. Financial and operational resilience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Financial condition and going-concern indicators reviewed</w:t>
              <w:br/>
              <w:t>Use appropriate statements, funding evidence and trend information.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Capacity, staffing and key-person dependencies assessed</w:t>
              <w:br/>
              <w:t>Test credible capacity for expected growth and incidents.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Business-continuity and disaster-recovery plans reviewed</w:t>
              <w:br/>
              <w:t>Check recovery objectives against the business requirement.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Recent test results and unresolved findings obtained</w:t>
              <w:br/>
              <w:t>Look for evidence, not policy statements alone.</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Insurance coverage is appropriate and current</w:t>
              <w:br/>
              <w:t>Consider cyber, professional, crime and general liability as relevant.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4. Information security and access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Security governance, standards and independent assurance reviewed</w:t>
              <w:br/>
              <w:t>Assess scope, exceptions and the period covered.</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Identity, privileged access and joiner-mover-leaver controls tested</w:t>
              <w:br/>
              <w:t>Include vendor personnel and emergency access.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Encryption, key management, logging and monitoring understood</w:t>
              <w:br/>
              <w:t>Cover data in transit, at rest and in backups.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Vulnerability, patching, penetration testing and remediation evidenced</w:t>
              <w:br/>
              <w:t>Record material overdue findings and compensating controls.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Security incident response and notification timings agreed</w:t>
              <w:br/>
              <w:t>Ensure business, regulatory and data-protection escalation can be met.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Secure development, change and segregation controls reviewed</w:t>
              <w:br/>
              <w:t>Apply where the provider develops or configures technology.</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5. Data protection and privacy</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Controller, processor or joint-controller roles mapped</w:t>
              <w:br/>
              <w:t>Base roles on actual decision-making and processing—not contract labels alone.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categories, subjects, purposes and lawful instructions documented</w:t>
              <w:br/>
              <w:t>Include inferred, testing, telemetry and support data.</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Hosting, access and cross-border transfer locations identified</w:t>
              <w:br/>
              <w:t>Record safeguards and material remote-access locations.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Subprocessors are identified and change controls agreed</w:t>
              <w:br/>
              <w:t>Set notice, objection and flow-down requirements.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Data-subject rights, assistance and search capability tested</w:t>
              <w:br/>
              <w:t>Confirm response evidence and timeframes.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Retention, return, deletion and deletion evidence defined</w:t>
              <w:br/>
              <w:t>Cover backups, logs, test environments and termination.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DPIA inputs and high-risk processing issues resolved</w:t>
              <w:br/>
              <w:t>Complete a formal DPIA where required before processing.</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6. AML/CFT, onboarding and financial-crime controls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Vendor's role in CDD, verification, screening or monitoring is defined</w:t>
              <w:br/>
              <w:t>Identify every decision and handoff retained by the business.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sources, match logic, confidence and false-positive handling tested</w:t>
              <w:br/>
              <w:t>Assess accuracy, coverage, bias and manual review.</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Beneficial ownership, PEP, sanctions and adverse-media capabilities reviewed</w:t>
              <w:br/>
              <w:t>Test the jurisdictions and customer types in scope.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Audit trail and evidence retention meet the business requirement</w:t>
              <w:br/>
              <w:t>Outputs should support investigation and regulator review.</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Material model, source or coverage changes require notice and testing</w:t>
              <w:br/>
              <w:t>Prevent silent control degradation.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7. Service levels, incidents and relationship governance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Measurable availability, support and performance levels agreed</w:t>
              <w:br/>
              <w:t>Use calculation rules, exclusions and source data that can be audited.</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Incident severity, notification and escalation matrix agreed</w:t>
              <w:br/>
              <w:t>Include 24/7 contacts for critical incidents.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Reporting, review meetings and improvement plans scheduled</w:t>
              <w:br/>
              <w:t>Set evidence, attendees and unresolved-action tracking.</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Audit, inspection and regulator-cooperation rights secured</w:t>
              <w:br/>
              <w:t>Calibrate access to criticality and confidentiality.</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Service credits and remedies do not replace wider rights</w:t>
              <w:br/>
              <w:t>Align remedies to likely business and regulatory harm.</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8. Contract, change and exit</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Scope, dependencies, acceptance and change control are complete</w:t>
              <w:br/>
              <w:t>Avoid informal changes outside the signed process.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Confidentiality, intellectual property and permitted data use are clear</w:t>
              <w:br/>
              <w:t>Address model training, analytics and aggregated data where relevant.</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Liability, indemnity and insurance positions reflect the risk</w:t>
              <w:br/>
              <w:t>Check carve-outs and the practical value of caps.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Suspension and termination rights protect regulated operations</w:t>
              <w:br/>
              <w:t>Address urgent risk while avoiding disproportionate service interruption.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Exit plan, transition support and data portability are workable</w:t>
              <w:br/>
              <w:t>Test time, format, cost, dependencies and deletion evidence.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Renewal review date and accountable decision-maker recorded</w:t>
              <w:br/>
              <w:t>Start material reviews 90–120 days before renewal.</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Decision and remediation record</w:t>
      </w:r>
    </w:p>
    <w:tbl>
      <w:tblPr>
        <w:tblW w:type="dxa" w:w="9360"/>
        <w:jc w:val="left"/>
        <w:tblLayout w:type="fixed"/>
        <w:tblLook w:firstColumn="1" w:firstRow="1" w:lastColumn="0" w:lastRow="0" w:noHBand="0" w:noVBand="1" w:val="04A0"/>
        <w:tblInd w:type="dxa" w:w="120"/>
      </w:tblPr>
      <w:tblGrid>
        <w:gridCol w:w="2850"/>
        <w:gridCol w:w="6510"/>
      </w:tblGrid>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Overall decision</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 Approve   ☐ Approve with conditions   ☐ Defer   ☐ Reject</w:t>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Conditions / material gaps</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Risk owner</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Remediation owner and date</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Next formal review</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28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Approval forum / date</w:t>
            </w:r>
          </w:p>
        </w:tc>
        <w:tc>
          <w:tcPr>
            <w:tcW w:type="dxa" w:w="651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bl>
    <w:p>
      <w:pPr>
        <w:pStyle w:val="Heading1"/>
      </w:pPr>
      <w:r>
        <w:t>Primary sources</w:t>
      </w:r>
    </w:p>
    <w:p>
      <w:pPr>
        <w:spacing w:after="160"/>
      </w:pPr>
      <w:r>
        <w:t>Check the latest official text and regulator guidance before relying on this working aid.</w:t>
      </w:r>
    </w:p>
    <w:tbl>
      <w:tblPr>
        <w:tblW w:type="dxa" w:w="9360"/>
        <w:jc w:val="left"/>
        <w:tblLayout w:type="fixed"/>
        <w:tblLook w:firstColumn="1" w:firstRow="1" w:lastColumn="0" w:lastRow="0" w:noHBand="0" w:noVBand="1" w:val="04A0"/>
        <w:tblInd w:type="dxa" w:w="120"/>
      </w:tblPr>
      <w:tblGrid>
        <w:gridCol w:w="3300"/>
        <w:gridCol w:w="6060"/>
      </w:tblGrid>
      <w:tr>
        <w:trPr>
          <w:tblHeader w:val="true"/>
        </w:trPr>
        <w:tc>
          <w:tcPr>
            <w:tcW w:type="dxa" w:w="330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Source</w:t>
            </w:r>
          </w:p>
        </w:tc>
        <w:tc>
          <w:tcPr>
            <w:tcW w:type="dxa" w:w="606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Official link</w:t>
            </w:r>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Protection Act, 2019</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2">
              <w:r>
                <w:rPr>
                  <w:rFonts w:ascii="Calibri" w:hAnsi="Calibri"/>
                  <w:color w:val="7A4E16"/>
                  <w:u w:val="single"/>
                </w:rPr>
                <w:t>https://new.kenyalaw.org/akn/ke/act/2019/24</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Protection (General) Regulations, 2021</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3">
              <w:r>
                <w:rPr>
                  <w:rFonts w:ascii="Calibri" w:hAnsi="Calibri"/>
                  <w:color w:val="7A4E16"/>
                  <w:u w:val="single"/>
                </w:rPr>
                <w:t>https://new.kenyalaw.org/akn/ke/act/ln/2021/263</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National Payment System Regulations, 2014</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4">
              <w:r>
                <w:rPr>
                  <w:rFonts w:ascii="Calibri" w:hAnsi="Calibri"/>
                  <w:color w:val="7A4E16"/>
                  <w:u w:val="single"/>
                </w:rPr>
                <w:t>https://new.kenyalaw.org/akn/ke/act/ln/2014/109</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Office of the Data Protection Commissioner — Guidance</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5">
              <w:r>
                <w:rPr>
                  <w:rFonts w:ascii="Calibri" w:hAnsi="Calibri"/>
                  <w:color w:val="7A4E16"/>
                  <w:u w:val="single"/>
                </w:rPr>
                <w:t>https://www.odpc.go.ke/guidelines-2/</w:t>
              </w:r>
            </w:hyperlink>
          </w:p>
        </w:tc>
      </w:tr>
    </w:tbl>
    <w:p>
      <w:pPr>
        <w:pStyle w:val="Heading1"/>
      </w:pPr>
      <w:r>
        <w:t>Permitted use and important notice</w:t>
      </w:r>
    </w:p>
    <w:p>
      <w:pPr>
        <w:spacing w:after="60" w:line="259" w:lineRule="auto"/>
      </w:pPr>
      <w:r>
        <w:rPr>
          <w:rFonts w:ascii="Calibri" w:hAnsi="Calibri"/>
          <w:b/>
          <w:color w:val="2D073A"/>
          <w:sz w:val="18"/>
        </w:rPr>
        <w:t xml:space="preserve">Internal use. </w:t>
      </w:r>
      <w:r>
        <w:rPr>
          <w:rFonts w:ascii="Calibri" w:hAnsi="Calibri"/>
          <w:color w:val="251F28"/>
          <w:sz w:val="18"/>
        </w:rPr>
        <w:t>The original downloader may use and adapt this resource internally for one business or organisation.</w:t>
      </w:r>
    </w:p>
    <w:p>
      <w:pPr>
        <w:spacing w:after="60" w:line="259" w:lineRule="auto"/>
      </w:pPr>
      <w:r>
        <w:rPr>
          <w:rFonts w:ascii="Calibri" w:hAnsi="Calibri"/>
          <w:b/>
          <w:color w:val="2D073A"/>
          <w:sz w:val="18"/>
        </w:rPr>
        <w:t xml:space="preserve">No resale or redistribution. </w:t>
      </w:r>
      <w:r>
        <w:rPr>
          <w:rFonts w:ascii="Calibri" w:hAnsi="Calibri"/>
          <w:color w:val="251F28"/>
          <w:sz w:val="18"/>
        </w:rPr>
        <w:t>It may not be sold, republished, distributed as a competing product or presented as legal advice from the firm.</w:t>
      </w:r>
    </w:p>
    <w:p>
      <w:pPr>
        <w:spacing w:after="60" w:line="259" w:lineRule="auto"/>
      </w:pPr>
      <w:r>
        <w:rPr>
          <w:rFonts w:ascii="Calibri" w:hAnsi="Calibri"/>
          <w:b/>
          <w:color w:val="2D073A"/>
          <w:sz w:val="18"/>
        </w:rPr>
        <w:t xml:space="preserve">No retainer by download. </w:t>
      </w:r>
      <w:r>
        <w:rPr>
          <w:rFonts w:ascii="Calibri" w:hAnsi="Calibri"/>
          <w:color w:val="251F28"/>
          <w:sz w:val="18"/>
        </w:rPr>
        <w:t>Downloading or completing it does not create an advocate-client relationship. No duty to update it is assumed.</w:t>
      </w:r>
    </w:p>
    <w:p>
      <w:pPr>
        <w:spacing w:after="60" w:line="259" w:lineRule="auto"/>
      </w:pPr>
      <w:r>
        <w:rPr>
          <w:rFonts w:ascii="Calibri" w:hAnsi="Calibri"/>
          <w:b/>
          <w:color w:val="2D073A"/>
          <w:sz w:val="18"/>
        </w:rPr>
        <w:t xml:space="preserve">General aid only. </w:t>
      </w:r>
      <w:r>
        <w:rPr>
          <w:rFonts w:ascii="Calibri" w:hAnsi="Calibri"/>
          <w:color w:val="251F28"/>
          <w:sz w:val="18"/>
        </w:rPr>
        <w:t>It is not a substitute for advice based on the complete facts, sector, regulator, transaction and current law.</w:t>
      </w:r>
    </w:p>
    <w:p>
      <w:pPr>
        <w:spacing w:after="60" w:line="259" w:lineRule="auto"/>
      </w:pPr>
      <w:r>
        <w:rPr>
          <w:rFonts w:ascii="Calibri" w:hAnsi="Calibri"/>
          <w:b/>
          <w:color w:val="2D073A"/>
          <w:sz w:val="18"/>
        </w:rPr>
        <w:t xml:space="preserve">Tailored work. </w:t>
      </w:r>
      <w:r>
        <w:rPr>
          <w:rFonts w:ascii="Calibri" w:hAnsi="Calibri"/>
          <w:color w:val="251F28"/>
          <w:sz w:val="18"/>
        </w:rPr>
        <w:t>Request a scope and fee before sharing substantive or confidential information for review.</w:t>
      </w:r>
    </w:p>
    <w:p>
      <w:pPr>
        <w:spacing w:before="100" w:after="0"/>
      </w:pPr>
      <w:r>
        <w:rPr>
          <w:rFonts w:ascii="Calibri" w:hAnsi="Calibri"/>
          <w:b/>
          <w:color w:val="6F696F"/>
          <w:sz w:val="18"/>
        </w:rPr>
        <w:t xml:space="preserve">© 2026 S.N. Nyaga &amp; Company Advocates. </w:t>
      </w:r>
      <w:hyperlink r:id="rId16">
        <w:r>
          <w:rPr>
            <w:rFonts w:ascii="Calibri" w:hAnsi="Calibri"/>
            <w:color w:val="7A4E16"/>
            <w:u w:val="single"/>
          </w:rPr>
          <w:t>Open the Business Document Studio</w:t>
        </w:r>
      </w:hyperlink>
    </w:p>
    <w:sectPr w:rsidR="00FC693F" w:rsidRPr="0006063C" w:rsidSect="00034616">
      <w:headerReference w:type="default" r:id="rId9"/>
      <w:footerReference w:type="default" r:id="rId10"/>
      <w:pgSz w:w="12240" w:h="15840"/>
      <w:pgMar w:top="1181"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6760"/>
      <w:gridCol w:w="2600"/>
    </w:tblGrid>
    <w:tr>
      <w:trPr/>
      <w:tc>
        <w:tcPr>
          <w:tcW w:type="dxa" w:w="676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r>
            <w:rPr>
              <w:rFonts w:ascii="Calibri" w:hAnsi="Calibri"/>
              <w:color w:val="6F696F"/>
              <w:sz w:val="16"/>
            </w:rPr>
            <w:t>snnyagaadvocates.co.ke  |  General working aid</w:t>
          </w:r>
        </w:p>
      </w:tc>
      <w:tc>
        <w:tcPr>
          <w:tcW w:type="dxa" w:w="260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pPr>
            <w:jc w:val="right"/>
          </w:pPr>
          <w:r>
            <w:rPr>
              <w:rFonts w:ascii="Calibri" w:hAnsi="Calibri"/>
              <w:color w:val="6F696F"/>
              <w:sz w:val="16"/>
            </w:rPr>
            <w:t>Reviewed 31 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6F696F"/>
        <w:sz w:val="16"/>
      </w:rPr>
      <w:t>S.N. Nyaga &amp; Company Advocates  |  Business Document Studio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1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D073A"/>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Calibri" w:hAnsi="Calibri"/>
      <w:b/>
      <w:bCs/>
      <w:color w:val="2D073A"/>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Calibri" w:hAnsi="Calibri"/>
      <w:b/>
      <w:bCs/>
      <w:color w:val="4011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52" w:lineRule="auto" w:before="0"/>
      <w:contextualSpacing/>
    </w:pPr>
    <w:rPr>
      <w:rFonts w:asciiTheme="majorHAnsi" w:eastAsiaTheme="majorEastAsia" w:hAnsiTheme="majorHAnsi" w:cstheme="majorBidi" w:ascii="Calibri" w:hAnsi="Calibri"/>
      <w:b/>
      <w:color w:val="2D0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Calibri" w:hAnsi="Calibri"/>
      <w:b w:val="0"/>
      <w:i/>
      <w:iCs/>
      <w:color w:val="6F696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kenyalaw.org/akn/ke/act/2019/24" TargetMode="External"/><Relationship Id="rId13" Type="http://schemas.openxmlformats.org/officeDocument/2006/relationships/hyperlink" Target="https://new.kenyalaw.org/akn/ke/act/ln/2021/263" TargetMode="External"/><Relationship Id="rId14" Type="http://schemas.openxmlformats.org/officeDocument/2006/relationships/hyperlink" Target="https://new.kenyalaw.org/akn/ke/act/ln/2014/109" TargetMode="External"/><Relationship Id="rId15" Type="http://schemas.openxmlformats.org/officeDocument/2006/relationships/hyperlink" Target="https://www.odpc.go.ke/guidelines-2/" TargetMode="External"/><Relationship Id="rId16" Type="http://schemas.openxmlformats.org/officeDocument/2006/relationships/hyperlink" Target="https://snnyagaadvocates.co.ke/document-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Nyaga Fintech Vendor Due Diligence Checklist</dc:title>
  <dc:subject>S.N. Nyaga &amp; Company Advocates Business Document Studio</dc:subject>
  <dc:creator>S.N. Nyaga &amp; Company Advocates</dc:creator>
  <cp:keywords>Kenya, legal toolkit, business documents, compliance</cp:keywords>
  <dc:description>generated by python-docx</dc:description>
  <cp:lastModifiedBy/>
  <cp:revision>1</cp:revision>
  <dcterms:created xsi:type="dcterms:W3CDTF">2013-12-23T23:15:00Z</dcterms:created>
  <dcterms:modified xsi:type="dcterms:W3CDTF">2013-12-23T23:15:00Z</dcterms:modified>
  <cp:category/>
</cp:coreProperties>
</file>