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5131"/>
        <w:gridCol w:w="5131"/>
      </w:tblGrid>
      <w:tr>
        <w:tc>
          <w:tcPr>
            <w:tcW w:type="dxa" w:w="7256"/>
            <w:shd w:fill="2D073A"/>
            <w:tcMar>
              <w:top w:w="170" w:type="dxa"/>
              <w:start w:w="180" w:type="dxa"/>
              <w:bottom w:w="170" w:type="dxa"/>
              <w:end w:w="180" w:type="dxa"/>
            </w:tcMar>
          </w:tcPr>
          <w:p>
            <w:pPr>
              <w:spacing w:before="0" w:after="20" w:line="252" w:lineRule="auto"/>
            </w:pPr>
            <w:r>
              <w:rPr>
                <w:rFonts w:ascii="Georgia" w:hAnsi="Georgia" w:eastAsia="Georgia"/>
                <w:b/>
                <w:i w:val="0"/>
                <w:color w:val="FFFFFF"/>
                <w:sz w:val="32"/>
              </w:rPr>
              <w:t>S.N. NYAGA</w:t>
            </w:r>
          </w:p>
          <w:p>
            <w:pPr>
              <w:spacing w:before="0" w:after="0" w:line="252" w:lineRule="auto"/>
            </w:pPr>
            <w:r>
              <w:rPr>
                <w:rFonts w:ascii="Aptos" w:hAnsi="Aptos" w:eastAsia="Aptos"/>
                <w:b/>
                <w:i w:val="0"/>
                <w:color w:val="E9C57E"/>
                <w:sz w:val="13"/>
              </w:rPr>
              <w:t>AND COMPANY ADVOCATES</w:t>
            </w:r>
          </w:p>
        </w:tc>
        <w:tc>
          <w:tcPr>
            <w:tcW w:type="dxa" w:w="2777"/>
            <w:shd w:fill="B58A35"/>
            <w:tcMar>
              <w:top w:w="170" w:type="dxa"/>
              <w:start w:w="180" w:type="dxa"/>
              <w:bottom w:w="170" w:type="dxa"/>
              <w:end w:w="180" w:type="dxa"/>
            </w:tcMar>
          </w:tcPr>
          <w:p>
            <w:pPr>
              <w:spacing w:before="0" w:after="0" w:line="252" w:lineRule="auto"/>
              <w:jc w:val="center"/>
            </w:pPr>
            <w:r>
              <w:rPr>
                <w:rFonts w:ascii="Aptos" w:hAnsi="Aptos" w:eastAsia="Aptos"/>
                <w:b/>
                <w:i w:val="0"/>
                <w:color w:val="FFFFFF"/>
                <w:sz w:val="18"/>
              </w:rPr>
              <w:t>2026</w:t>
              <w:br/>
              <w:t>WORKING AID</w:t>
            </w:r>
          </w:p>
        </w:tc>
      </w:tr>
    </w:tbl>
    <w:p>
      <w:pPr>
        <w:spacing w:after="560"/>
      </w:pPr>
    </w:p>
    <w:p>
      <w:pPr>
        <w:keepNext/>
        <w:spacing w:before="0" w:after="80" w:line="252" w:lineRule="auto"/>
      </w:pPr>
      <w:r>
        <w:rPr>
          <w:rFonts w:ascii="Aptos" w:hAnsi="Aptos" w:eastAsia="Aptos"/>
          <w:b/>
          <w:i w:val="0"/>
          <w:color w:val="B58A35"/>
          <w:sz w:val="14"/>
        </w:rPr>
        <w:t>KENYA · VIRTUAL ASSETS · LICENSING READINESS</w:t>
      </w:r>
    </w:p>
    <w:p>
      <w:pPr>
        <w:spacing w:before="0" w:after="260" w:line="228" w:lineRule="auto"/>
      </w:pPr>
      <w:r>
        <w:rPr>
          <w:rFonts w:ascii="Georgia" w:hAnsi="Georgia" w:eastAsia="Georgia"/>
          <w:b w:val="0"/>
          <w:i w:val="0"/>
          <w:color w:val="2D073A"/>
          <w:sz w:val="78"/>
        </w:rPr>
        <w:t>VASP 2026</w:t>
      </w:r>
    </w:p>
    <w:p>
      <w:pPr>
        <w:spacing w:before="0" w:after="280" w:line="235" w:lineRule="auto"/>
      </w:pPr>
      <w:r>
        <w:rPr>
          <w:rFonts w:ascii="Georgia" w:hAnsi="Georgia" w:eastAsia="Georgia"/>
          <w:b w:val="0"/>
          <w:i w:val="0"/>
          <w:color w:val="2D073A"/>
          <w:sz w:val="62"/>
        </w:rPr>
        <w:t>Transition &amp; Licensing</w:t>
        <w:br/>
        <w:t>Readiness Checklist</w:t>
      </w:r>
    </w:p>
    <w:p>
      <w:pPr>
        <w:spacing w:before="0" w:after="400" w:line="276" w:lineRule="auto"/>
      </w:pPr>
      <w:r>
        <w:rPr>
          <w:rFonts w:ascii="Aptos" w:hAnsi="Aptos" w:eastAsia="Aptos"/>
          <w:b w:val="0"/>
          <w:i w:val="0"/>
          <w:color w:val="625B63"/>
          <w:sz w:val="18"/>
        </w:rPr>
        <w:t>Activity classification  ·  CBK and CMA routes  ·  Capital  ·  Governance</w:t>
        <w:br/>
        <w:t>Nine policy workstreams  ·  Application evidence  ·  30/60/90-day plan</w:t>
      </w:r>
    </w:p>
    <w:tbl>
      <w:tblPr>
        <w:tblW w:type="auto" w:w="0"/>
        <w:jc w:val="center"/>
        <w:tblLayout w:type="fixed"/>
        <w:tblLook w:firstColumn="1" w:firstRow="1" w:lastColumn="0" w:lastRow="0" w:noHBand="0" w:noVBand="1" w:val="04A0"/>
      </w:tblPr>
      <w:tblGrid>
        <w:gridCol w:w="5131"/>
        <w:gridCol w:w="5131"/>
      </w:tblGrid>
      <w:tr>
        <w:tc>
          <w:tcPr>
            <w:tcW w:type="dxa" w:w="2721"/>
            <w:shd w:fill="B58A35"/>
            <w:tcMar>
              <w:top w:w="150" w:type="dxa"/>
              <w:start w:w="165" w:type="dxa"/>
              <w:bottom w:w="150" w:type="dxa"/>
              <w:end w:w="165" w:type="dxa"/>
            </w:tcMar>
          </w:tcPr>
          <w:p>
            <w:pPr>
              <w:spacing w:before="0" w:after="0" w:line="252" w:lineRule="auto"/>
            </w:pPr>
            <w:r>
              <w:rPr>
                <w:rFonts w:ascii="Aptos" w:hAnsi="Aptos" w:eastAsia="Aptos"/>
                <w:b/>
                <w:i w:val="0"/>
                <w:color w:val="FFFFFF"/>
                <w:sz w:val="20"/>
              </w:rPr>
              <w:t>TRANSITION</w:t>
              <w:br/>
              <w:t>4 NOV 2026</w:t>
            </w:r>
          </w:p>
        </w:tc>
        <w:tc>
          <w:tcPr>
            <w:tcW w:type="dxa" w:w="7313"/>
            <w:shd w:fill="F7F3EC"/>
            <w:tcMar>
              <w:top w:w="150" w:type="dxa"/>
              <w:start w:w="165" w:type="dxa"/>
              <w:bottom w:w="150" w:type="dxa"/>
              <w:end w:w="165" w:type="dxa"/>
            </w:tcMar>
          </w:tcPr>
          <w:p>
            <w:pPr>
              <w:spacing w:before="0" w:after="60" w:line="252" w:lineRule="auto"/>
            </w:pPr>
            <w:r>
              <w:rPr>
                <w:rFonts w:ascii="Aptos" w:hAnsi="Aptos" w:eastAsia="Aptos"/>
                <w:b/>
                <w:i w:val="0"/>
                <w:color w:val="2D073A"/>
                <w:sz w:val="20"/>
              </w:rPr>
              <w:t>Existing-provider transition checkpoint</w:t>
            </w:r>
          </w:p>
          <w:p>
            <w:pPr>
              <w:spacing w:before="0" w:after="0" w:line="259" w:lineRule="auto"/>
            </w:pPr>
            <w:r>
              <w:rPr>
                <w:rFonts w:ascii="Aptos" w:hAnsi="Aptos" w:eastAsia="Aptos"/>
                <w:b w:val="0"/>
                <w:i w:val="0"/>
                <w:color w:val="625B63"/>
                <w:sz w:val="16"/>
              </w:rPr>
              <w:t>Section 47 of the Virtual Asset Service Providers Act gave existing providers one year from commencement to comply. Confirm the current legal and regulatory position for the specific business before relying on any date or route.</w:t>
            </w:r>
          </w:p>
        </w:tc>
      </w:tr>
    </w:tbl>
    <w:p/>
    <w:tbl>
      <w:tblPr>
        <w:tblW w:type="auto" w:w="0"/>
        <w:jc w:val="left"/>
        <w:tblLayout w:type="fixed"/>
        <w:tblLook w:firstColumn="1" w:firstRow="1" w:lastColumn="0" w:lastRow="0" w:noHBand="0" w:noVBand="1" w:val="04A0"/>
        <w:tblBorders>
          <w:top w:val="single" w:sz="4" w:space="0" w:color="D8CEC2"/>
          <w:left w:val="single" w:sz="4" w:space="0" w:color="D8CEC2"/>
          <w:bottom w:val="single" w:sz="4" w:space="0" w:color="D8CEC2"/>
          <w:right w:val="single" w:sz="4" w:space="0" w:color="D8CEC2"/>
          <w:insideH w:val="single" w:sz="4" w:space="0" w:color="D8CEC2"/>
          <w:insideV w:val="single" w:sz="4" w:space="0" w:color="D8CEC2"/>
        </w:tblBorders>
      </w:tblPr>
      <w:tblGrid>
        <w:gridCol w:w="5131"/>
        <w:gridCol w:w="5131"/>
      </w:tblGrid>
      <w:tr>
        <w:trPr>
          <w:cantSplit/>
        </w:trPr>
        <w:tc>
          <w:tcPr>
            <w:tcW w:type="dxa" w:w="2381"/>
            <w:tcMar>
              <w:top w:w="70" w:type="dxa"/>
              <w:start w:w="85" w:type="dxa"/>
              <w:bottom w:w="70" w:type="dxa"/>
              <w:end w:w="85" w:type="dxa"/>
            </w:tcMar>
          </w:tcPr>
          <w:p>
            <w:pPr>
              <w:spacing w:before="0" w:after="0" w:line="252" w:lineRule="auto"/>
            </w:pPr>
            <w:r>
              <w:rPr>
                <w:rFonts w:ascii="Aptos" w:hAnsi="Aptos" w:eastAsia="Aptos"/>
                <w:b/>
                <w:i w:val="0"/>
                <w:color w:val="B58A35"/>
                <w:sz w:val="15"/>
              </w:rPr>
              <w:t>Prepared by</w:t>
            </w:r>
          </w:p>
        </w:tc>
        <w:tc>
          <w:tcPr>
            <w:tcW w:type="dxa" w:w="7653"/>
            <w:tcMar>
              <w:top w:w="70" w:type="dxa"/>
              <w:start w:w="85" w:type="dxa"/>
              <w:bottom w:w="70" w:type="dxa"/>
              <w:end w:w="85" w:type="dxa"/>
            </w:tcMar>
          </w:tcPr>
          <w:p>
            <w:pPr>
              <w:spacing w:before="0" w:after="0" w:line="252" w:lineRule="auto"/>
            </w:pPr>
            <w:r>
              <w:rPr>
                <w:rFonts w:ascii="Aptos" w:hAnsi="Aptos" w:eastAsia="Aptos"/>
                <w:b w:val="0"/>
                <w:i w:val="0"/>
                <w:color w:val="2D2430"/>
                <w:sz w:val="15"/>
              </w:rPr>
              <w:t>S.N. Nyaga &amp; Company Advocates</w:t>
            </w:r>
          </w:p>
        </w:tc>
      </w:tr>
      <w:tr>
        <w:trPr>
          <w:cantSplit/>
        </w:trPr>
        <w:tc>
          <w:tcPr>
            <w:tcW w:type="dxa" w:w="2381"/>
            <w:tcMar>
              <w:top w:w="70" w:type="dxa"/>
              <w:start w:w="85" w:type="dxa"/>
              <w:bottom w:w="70" w:type="dxa"/>
              <w:end w:w="85" w:type="dxa"/>
            </w:tcMar>
          </w:tcPr>
          <w:p>
            <w:pPr>
              <w:spacing w:before="0" w:after="0" w:line="252" w:lineRule="auto"/>
            </w:pPr>
            <w:r>
              <w:rPr>
                <w:rFonts w:ascii="Aptos" w:hAnsi="Aptos" w:eastAsia="Aptos"/>
                <w:b/>
                <w:i w:val="0"/>
                <w:color w:val="B58A35"/>
                <w:sz w:val="15"/>
              </w:rPr>
              <w:t>Reviewed</w:t>
            </w:r>
          </w:p>
        </w:tc>
        <w:tc>
          <w:tcPr>
            <w:tcW w:type="dxa" w:w="7653"/>
            <w:tcMar>
              <w:top w:w="70" w:type="dxa"/>
              <w:start w:w="85" w:type="dxa"/>
              <w:bottom w:w="70" w:type="dxa"/>
              <w:end w:w="85" w:type="dxa"/>
            </w:tcMar>
          </w:tcPr>
          <w:p>
            <w:pPr>
              <w:spacing w:before="0" w:after="0" w:line="252" w:lineRule="auto"/>
            </w:pPr>
            <w:r>
              <w:rPr>
                <w:rFonts w:ascii="Aptos" w:hAnsi="Aptos" w:eastAsia="Aptos"/>
                <w:b w:val="0"/>
                <w:i w:val="0"/>
                <w:color w:val="2D2430"/>
                <w:sz w:val="15"/>
              </w:rPr>
              <w:t>17 August 2026</w:t>
            </w:r>
          </w:p>
        </w:tc>
      </w:tr>
      <w:tr>
        <w:trPr>
          <w:cantSplit/>
        </w:trPr>
        <w:tc>
          <w:tcPr>
            <w:tcW w:type="dxa" w:w="2381"/>
            <w:tcMar>
              <w:top w:w="70" w:type="dxa"/>
              <w:start w:w="85" w:type="dxa"/>
              <w:bottom w:w="70" w:type="dxa"/>
              <w:end w:w="85" w:type="dxa"/>
            </w:tcMar>
          </w:tcPr>
          <w:p>
            <w:pPr>
              <w:spacing w:before="0" w:after="0" w:line="252" w:lineRule="auto"/>
            </w:pPr>
            <w:r>
              <w:rPr>
                <w:rFonts w:ascii="Aptos" w:hAnsi="Aptos" w:eastAsia="Aptos"/>
                <w:b/>
                <w:i w:val="0"/>
                <w:color w:val="B58A35"/>
                <w:sz w:val="15"/>
              </w:rPr>
              <w:t>Use</w:t>
            </w:r>
          </w:p>
        </w:tc>
        <w:tc>
          <w:tcPr>
            <w:tcW w:type="dxa" w:w="7653"/>
            <w:tcMar>
              <w:top w:w="70" w:type="dxa"/>
              <w:start w:w="85" w:type="dxa"/>
              <w:bottom w:w="70" w:type="dxa"/>
              <w:end w:w="85" w:type="dxa"/>
            </w:tcMar>
          </w:tcPr>
          <w:p>
            <w:pPr>
              <w:spacing w:before="0" w:after="0" w:line="252" w:lineRule="auto"/>
            </w:pPr>
            <w:r>
              <w:rPr>
                <w:rFonts w:ascii="Aptos" w:hAnsi="Aptos" w:eastAsia="Aptos"/>
                <w:b w:val="0"/>
                <w:i w:val="0"/>
                <w:color w:val="2D2430"/>
                <w:sz w:val="15"/>
              </w:rPr>
              <w:t>Editable internal readiness record; general information only</w:t>
            </w:r>
          </w:p>
        </w:tc>
      </w:tr>
    </w:tbl>
    <w:p>
      <w:r>
        <w:br w:type="page"/>
      </w:r>
    </w:p>
    <w:tbl>
      <w:tblPr>
        <w:tblW w:type="auto" w:w="0"/>
        <w:jc w:val="center"/>
        <w:tblLayout w:type="fixed"/>
        <w:tblLook w:firstColumn="1" w:firstRow="1" w:lastColumn="0" w:lastRow="0" w:noHBand="0" w:noVBand="1" w:val="04A0"/>
      </w:tblPr>
      <w:tblGrid>
        <w:gridCol w:w="5131"/>
        <w:gridCol w:w="5131"/>
      </w:tblGrid>
      <w:tr>
        <w:tc>
          <w:tcPr>
            <w:tcW w:type="dxa" w:w="907"/>
            <w:shd w:fill="B58A35"/>
            <w:tcMar>
              <w:top w:w="145" w:type="dxa"/>
              <w:start w:w="155" w:type="dxa"/>
              <w:bottom w:w="145" w:type="dxa"/>
              <w:end w:w="155" w:type="dxa"/>
            </w:tcMar>
            <w:vAlign w:val="center"/>
          </w:tcPr>
          <w:p>
            <w:pPr>
              <w:spacing w:before="0" w:after="0" w:line="252" w:lineRule="auto"/>
              <w:jc w:val="center"/>
            </w:pPr>
            <w:r>
              <w:rPr>
                <w:rFonts w:ascii="Georgia" w:hAnsi="Georgia" w:eastAsia="Georgia"/>
                <w:b/>
                <w:i w:val="0"/>
                <w:color w:val="FFFFFF"/>
                <w:sz w:val="30"/>
              </w:rPr>
              <w:t>01</w:t>
            </w:r>
          </w:p>
        </w:tc>
        <w:tc>
          <w:tcPr>
            <w:tcW w:type="dxa" w:w="9127"/>
            <w:shd w:fill="2D073A"/>
            <w:tcMar>
              <w:top w:w="145" w:type="dxa"/>
              <w:start w:w="155" w:type="dxa"/>
              <w:bottom w:w="145" w:type="dxa"/>
              <w:end w:w="155" w:type="dxa"/>
            </w:tcMar>
            <w:vAlign w:val="center"/>
          </w:tcPr>
          <w:p>
            <w:pPr>
              <w:spacing w:before="0" w:after="20" w:line="252" w:lineRule="auto"/>
            </w:pPr>
            <w:r>
              <w:rPr>
                <w:rFonts w:ascii="Aptos" w:hAnsi="Aptos" w:eastAsia="Aptos"/>
                <w:b/>
                <w:i w:val="0"/>
                <w:color w:val="E9C57E"/>
                <w:sz w:val="13"/>
              </w:rPr>
              <w:t>START HERE</w:t>
            </w:r>
          </w:p>
          <w:p>
            <w:pPr>
              <w:spacing w:before="0" w:after="0" w:line="240" w:lineRule="auto"/>
            </w:pPr>
            <w:r>
              <w:rPr>
                <w:rFonts w:ascii="Georgia" w:hAnsi="Georgia" w:eastAsia="Georgia"/>
                <w:b w:val="0"/>
                <w:i w:val="0"/>
                <w:color w:val="FFFFFF"/>
                <w:sz w:val="31"/>
              </w:rPr>
              <w:t>How to use this working aid</w:t>
            </w:r>
          </w:p>
        </w:tc>
      </w:tr>
    </w:tbl>
    <w:tbl>
      <w:tblPr>
        <w:tblW w:type="auto" w:w="0"/>
        <w:jc w:val="center"/>
        <w:tblLayout w:type="fixed"/>
        <w:tblLook w:firstColumn="1" w:firstRow="1" w:lastColumn="0" w:lastRow="0" w:noHBand="0" w:noVBand="1" w:val="04A0"/>
      </w:tblPr>
      <w:tblGrid>
        <w:gridCol w:w="10262"/>
      </w:tblGrid>
      <w:tr>
        <w:tc>
          <w:tcPr>
            <w:tcW w:type="dxa" w:w="10262"/>
            <w:shd w:fill="F7ECD4"/>
            <w:tcMar>
              <w:top w:w="130" w:type="dxa"/>
              <w:start w:w="160" w:type="dxa"/>
              <w:bottom w:w="130" w:type="dxa"/>
              <w:end w:w="160" w:type="dxa"/>
            </w:tcMar>
          </w:tcPr>
          <w:p>
            <w:pPr>
              <w:spacing w:before="0" w:after="60" w:line="252" w:lineRule="auto"/>
            </w:pPr>
            <w:r>
              <w:rPr>
                <w:rFonts w:ascii="Aptos" w:hAnsi="Aptos" w:eastAsia="Aptos"/>
                <w:b/>
                <w:i w:val="0"/>
                <w:color w:val="B58A35"/>
                <w:sz w:val="14"/>
              </w:rPr>
              <w:t>IMPORTANT</w:t>
            </w:r>
          </w:p>
          <w:p>
            <w:pPr>
              <w:spacing w:before="0" w:after="0" w:line="259" w:lineRule="auto"/>
            </w:pPr>
            <w:r>
              <w:rPr>
                <w:rFonts w:ascii="Aptos" w:hAnsi="Aptos" w:eastAsia="Aptos"/>
                <w:b w:val="0"/>
                <w:i w:val="0"/>
                <w:color w:val="2D2430"/>
                <w:sz w:val="16"/>
              </w:rPr>
              <w:t>This checklist is not a licence application, legal opinion, compliance certification or substitute for current forms and directions issued by CBK or CMA. It is designed to identify gaps, owners, evidence and decisions before formal engagement or submission.</w:t>
            </w:r>
          </w:p>
        </w:tc>
      </w:tr>
    </w:tbl>
    <w:p/>
    <w:p>
      <w:pPr>
        <w:keepNext/>
        <w:spacing w:before="40" w:after="120" w:line="240" w:lineRule="auto"/>
      </w:pPr>
      <w:r>
        <w:rPr>
          <w:rFonts w:ascii="Georgia" w:hAnsi="Georgia" w:eastAsia="Georgia"/>
          <w:b w:val="0"/>
          <w:i w:val="0"/>
          <w:color w:val="2D073A"/>
          <w:sz w:val="42"/>
        </w:rPr>
        <w:t>Record the operating facts before selecting a licence.</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Complete the activity map for each product, group entity, customer segment and revenue line.</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Treat custody, control of private keys, exchange, advice, payment processing, token issuance and stablecoin functions separately.</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Assign one accountable executive and one board sponsor to the transition programme.</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Use document IDs, owners and dates; do not paste confidential customer, wallet or transaction data into this file.</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Reconfirm current regulations, application forms, fees, guidance and regulator directions immediately before filing.</w:t>
      </w:r>
    </w:p>
    <w:p>
      <w:pPr>
        <w:keepNext/>
        <w:spacing w:before="20" w:after="120" w:line="240" w:lineRule="auto"/>
      </w:pPr>
      <w:r>
        <w:rPr>
          <w:rFonts w:ascii="Georgia" w:hAnsi="Georgia" w:eastAsia="Georgia"/>
          <w:b w:val="0"/>
          <w:i w:val="0"/>
          <w:color w:val="2D073A"/>
          <w:sz w:val="26"/>
        </w:rPr>
        <w:t>Organisation and review record</w:t>
      </w:r>
    </w:p>
    <w:p>
      <w:pPr>
        <w:spacing w:before="0" w:after="60" w:line="252" w:lineRule="auto"/>
      </w:pPr>
      <w:r>
        <w:rPr>
          <w:rFonts w:ascii="Aptos" w:hAnsi="Aptos" w:eastAsia="Aptos"/>
          <w:b/>
          <w:i w:val="0"/>
          <w:color w:val="2D2430"/>
          <w:sz w:val="16"/>
        </w:rPr>
        <w:t>Legal entity / group</w:t>
      </w:r>
      <w:r>
        <w:rPr>
          <w:rFonts w:ascii="Aptos" w:hAnsi="Aptos" w:eastAsia="Aptos"/>
          <w:b w:val="0"/>
          <w:i w:val="0"/>
          <w:color w:val="D8CEC2"/>
          <w:sz w:val="16"/>
        </w:rPr>
        <w:t xml:space="preserve">  ______________________________________________________________</w:t>
      </w:r>
    </w:p>
    <w:p>
      <w:pPr>
        <w:spacing w:before="0" w:after="60" w:line="252" w:lineRule="auto"/>
      </w:pPr>
      <w:r>
        <w:rPr>
          <w:rFonts w:ascii="Aptos" w:hAnsi="Aptos" w:eastAsia="Aptos"/>
          <w:b/>
          <w:i w:val="0"/>
          <w:color w:val="2D2430"/>
          <w:sz w:val="16"/>
        </w:rPr>
        <w:t>Primary product or service</w:t>
      </w:r>
      <w:r>
        <w:rPr>
          <w:rFonts w:ascii="Aptos" w:hAnsi="Aptos" w:eastAsia="Aptos"/>
          <w:b w:val="0"/>
          <w:i w:val="0"/>
          <w:color w:val="D8CEC2"/>
          <w:sz w:val="16"/>
        </w:rPr>
        <w:t xml:space="preserve">  ______________________________________________________________</w:t>
      </w:r>
    </w:p>
    <w:p>
      <w:pPr>
        <w:spacing w:before="0" w:after="60" w:line="252" w:lineRule="auto"/>
      </w:pPr>
      <w:r>
        <w:rPr>
          <w:rFonts w:ascii="Aptos" w:hAnsi="Aptos" w:eastAsia="Aptos"/>
          <w:b/>
          <w:i w:val="0"/>
          <w:color w:val="2D2430"/>
          <w:sz w:val="16"/>
        </w:rPr>
        <w:t>Existing operator in Kenya?  [ ] Yes  [ ] No  [ ] Unclear</w:t>
      </w:r>
      <w:r>
        <w:rPr>
          <w:rFonts w:ascii="Aptos" w:hAnsi="Aptos" w:eastAsia="Aptos"/>
          <w:b w:val="0"/>
          <w:i w:val="0"/>
          <w:color w:val="D8CEC2"/>
          <w:sz w:val="16"/>
        </w:rPr>
        <w:t xml:space="preserve">  ______________________________________________________________</w:t>
      </w:r>
    </w:p>
    <w:p>
      <w:pPr>
        <w:spacing w:before="0" w:after="60" w:line="252" w:lineRule="auto"/>
      </w:pPr>
      <w:r>
        <w:rPr>
          <w:rFonts w:ascii="Aptos" w:hAnsi="Aptos" w:eastAsia="Aptos"/>
          <w:b/>
          <w:i w:val="0"/>
          <w:color w:val="2D2430"/>
          <w:sz w:val="16"/>
        </w:rPr>
        <w:t>Board sponsor</w:t>
      </w:r>
      <w:r>
        <w:rPr>
          <w:rFonts w:ascii="Aptos" w:hAnsi="Aptos" w:eastAsia="Aptos"/>
          <w:b w:val="0"/>
          <w:i w:val="0"/>
          <w:color w:val="D8CEC2"/>
          <w:sz w:val="16"/>
        </w:rPr>
        <w:t xml:space="preserve">  ______________________________________________________________</w:t>
      </w:r>
    </w:p>
    <w:p>
      <w:pPr>
        <w:spacing w:before="0" w:after="60" w:line="252" w:lineRule="auto"/>
      </w:pPr>
      <w:r>
        <w:rPr>
          <w:rFonts w:ascii="Aptos" w:hAnsi="Aptos" w:eastAsia="Aptos"/>
          <w:b/>
          <w:i w:val="0"/>
          <w:color w:val="2D2430"/>
          <w:sz w:val="16"/>
        </w:rPr>
        <w:t>Programme lead</w:t>
      </w:r>
      <w:r>
        <w:rPr>
          <w:rFonts w:ascii="Aptos" w:hAnsi="Aptos" w:eastAsia="Aptos"/>
          <w:b w:val="0"/>
          <w:i w:val="0"/>
          <w:color w:val="D8CEC2"/>
          <w:sz w:val="16"/>
        </w:rPr>
        <w:t xml:space="preserve">  ______________________________________________________________</w:t>
      </w:r>
    </w:p>
    <w:p>
      <w:pPr>
        <w:spacing w:before="0" w:after="60" w:line="252" w:lineRule="auto"/>
      </w:pPr>
      <w:r>
        <w:rPr>
          <w:rFonts w:ascii="Aptos" w:hAnsi="Aptos" w:eastAsia="Aptos"/>
          <w:b/>
          <w:i w:val="0"/>
          <w:color w:val="2D2430"/>
          <w:sz w:val="16"/>
        </w:rPr>
        <w:t>Counsel / compliance adviser</w:t>
      </w:r>
      <w:r>
        <w:rPr>
          <w:rFonts w:ascii="Aptos" w:hAnsi="Aptos" w:eastAsia="Aptos"/>
          <w:b w:val="0"/>
          <w:i w:val="0"/>
          <w:color w:val="D8CEC2"/>
          <w:sz w:val="16"/>
        </w:rPr>
        <w:t xml:space="preserve">  ______________________________________________________________</w:t>
      </w:r>
    </w:p>
    <w:p>
      <w:pPr>
        <w:spacing w:before="0" w:after="60" w:line="252" w:lineRule="auto"/>
      </w:pPr>
      <w:r>
        <w:rPr>
          <w:rFonts w:ascii="Aptos" w:hAnsi="Aptos" w:eastAsia="Aptos"/>
          <w:b/>
          <w:i w:val="0"/>
          <w:color w:val="2D2430"/>
          <w:sz w:val="16"/>
        </w:rPr>
        <w:t>Last board review date</w:t>
      </w:r>
      <w:r>
        <w:rPr>
          <w:rFonts w:ascii="Aptos" w:hAnsi="Aptos" w:eastAsia="Aptos"/>
          <w:b w:val="0"/>
          <w:i w:val="0"/>
          <w:color w:val="D8CEC2"/>
          <w:sz w:val="16"/>
        </w:rPr>
        <w:t xml:space="preserve">  ______________________________________________________________</w:t>
      </w:r>
    </w:p>
    <w:p>
      <w:pPr>
        <w:keepNext/>
        <w:spacing w:before="20" w:after="120" w:line="240" w:lineRule="auto"/>
      </w:pPr>
      <w:r>
        <w:rPr>
          <w:rFonts w:ascii="Georgia" w:hAnsi="Georgia" w:eastAsia="Georgia"/>
          <w:b w:val="0"/>
          <w:i w:val="0"/>
          <w:color w:val="2D073A"/>
          <w:sz w:val="26"/>
        </w:rPr>
        <w:t>First 72-hour actions</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Freeze unapproved product expansion until the perimeter map is complete.</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Identify all Kenya-facing revenue, users, marketing, settlement and custody touchpoints.</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Open a controlled evidence repository with an index, version owner and approval state.</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Escalate capital, local-entity, banking, key-person and independent-director gaps.</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Approve a regulator-engagement plan and a no-misleading-statements rule for public communications.</w:t>
      </w:r>
    </w:p>
    <w:p>
      <w:r>
        <w:br w:type="page"/>
      </w:r>
    </w:p>
    <w:tbl>
      <w:tblPr>
        <w:tblW w:type="auto" w:w="0"/>
        <w:jc w:val="center"/>
        <w:tblLayout w:type="fixed"/>
        <w:tblLook w:firstColumn="1" w:firstRow="1" w:lastColumn="0" w:lastRow="0" w:noHBand="0" w:noVBand="1" w:val="04A0"/>
      </w:tblPr>
      <w:tblGrid>
        <w:gridCol w:w="5131"/>
        <w:gridCol w:w="5131"/>
      </w:tblGrid>
      <w:tr>
        <w:tc>
          <w:tcPr>
            <w:tcW w:type="dxa" w:w="907"/>
            <w:shd w:fill="B58A35"/>
            <w:tcMar>
              <w:top w:w="145" w:type="dxa"/>
              <w:start w:w="155" w:type="dxa"/>
              <w:bottom w:w="145" w:type="dxa"/>
              <w:end w:w="155" w:type="dxa"/>
            </w:tcMar>
            <w:vAlign w:val="center"/>
          </w:tcPr>
          <w:p>
            <w:pPr>
              <w:spacing w:before="0" w:after="0" w:line="252" w:lineRule="auto"/>
              <w:jc w:val="center"/>
            </w:pPr>
            <w:r>
              <w:rPr>
                <w:rFonts w:ascii="Georgia" w:hAnsi="Georgia" w:eastAsia="Georgia"/>
                <w:b/>
                <w:i w:val="0"/>
                <w:color w:val="FFFFFF"/>
                <w:sz w:val="30"/>
              </w:rPr>
              <w:t>02</w:t>
            </w:r>
          </w:p>
        </w:tc>
        <w:tc>
          <w:tcPr>
            <w:tcW w:type="dxa" w:w="9127"/>
            <w:shd w:fill="2D073A"/>
            <w:tcMar>
              <w:top w:w="145" w:type="dxa"/>
              <w:start w:w="155" w:type="dxa"/>
              <w:bottom w:w="145" w:type="dxa"/>
              <w:end w:w="155" w:type="dxa"/>
            </w:tcMar>
            <w:vAlign w:val="center"/>
          </w:tcPr>
          <w:p>
            <w:pPr>
              <w:spacing w:before="0" w:after="20" w:line="252" w:lineRule="auto"/>
            </w:pPr>
            <w:r>
              <w:rPr>
                <w:rFonts w:ascii="Aptos" w:hAnsi="Aptos" w:eastAsia="Aptos"/>
                <w:b/>
                <w:i w:val="0"/>
                <w:color w:val="E9C57E"/>
                <w:sz w:val="13"/>
              </w:rPr>
              <w:t>PERIMETER AND REGULATOR ROUTE</w:t>
            </w:r>
          </w:p>
          <w:p>
            <w:pPr>
              <w:spacing w:before="0" w:after="0" w:line="240" w:lineRule="auto"/>
            </w:pPr>
            <w:r>
              <w:rPr>
                <w:rFonts w:ascii="Georgia" w:hAnsi="Georgia" w:eastAsia="Georgia"/>
                <w:b w:val="0"/>
                <w:i w:val="0"/>
                <w:color w:val="FFFFFF"/>
                <w:sz w:val="31"/>
              </w:rPr>
              <w:t>Classify each activity before building the application</w:t>
            </w:r>
          </w:p>
        </w:tc>
      </w:tr>
    </w:tbl>
    <w:p>
      <w:pPr>
        <w:spacing w:before="0" w:after="100" w:line="259" w:lineRule="auto"/>
      </w:pPr>
      <w:r>
        <w:rPr>
          <w:rFonts w:ascii="Aptos" w:hAnsi="Aptos" w:eastAsia="Aptos"/>
          <w:b w:val="0"/>
          <w:i w:val="0"/>
          <w:color w:val="625B63"/>
          <w:sz w:val="16"/>
        </w:rPr>
        <w:t>The same group may need more than one licence. Record each actual function rather than relying on a product label such as “crypto platform”, “technology provider” or “marketplace”.</w:t>
      </w:r>
    </w:p>
    <w:tbl>
      <w:tblPr>
        <w:tblW w:type="auto" w:w="0"/>
        <w:jc w:val="center"/>
        <w:tblLayout w:type="fixed"/>
        <w:tblLook w:firstColumn="1" w:firstRow="1" w:lastColumn="0" w:lastRow="0" w:noHBand="0" w:noVBand="1" w:val="04A0"/>
        <w:tblBorders>
          <w:top w:val="single" w:sz="5" w:space="0" w:color="D8CEC2"/>
          <w:left w:val="single" w:sz="5" w:space="0" w:color="D8CEC2"/>
          <w:bottom w:val="single" w:sz="5" w:space="0" w:color="D8CEC2"/>
          <w:right w:val="single" w:sz="5" w:space="0" w:color="D8CEC2"/>
          <w:insideH w:val="single" w:sz="5" w:space="0" w:color="D8CEC2"/>
          <w:insideV w:val="single" w:sz="5" w:space="0" w:color="D8CEC2"/>
        </w:tblBorders>
      </w:tblPr>
      <w:tblGrid>
        <w:gridCol w:w="2565"/>
        <w:gridCol w:w="2565"/>
        <w:gridCol w:w="2565"/>
        <w:gridCol w:w="2565"/>
      </w:tblGrid>
      <w:tr>
        <w:trPr>
          <w:tblHeader w:val="true"/>
        </w:trPr>
        <w:tc>
          <w:tcPr>
            <w:tcW w:type="dxa" w:w="2381"/>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Activity</w:t>
            </w:r>
          </w:p>
        </w:tc>
        <w:tc>
          <w:tcPr>
            <w:tcW w:type="dxa" w:w="850"/>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Route</w:t>
            </w:r>
          </w:p>
        </w:tc>
        <w:tc>
          <w:tcPr>
            <w:tcW w:type="dxa" w:w="5499"/>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Operating fact to test</w:t>
            </w:r>
          </w:p>
        </w:tc>
        <w:tc>
          <w:tcPr>
            <w:tcW w:type="dxa" w:w="737"/>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In scope</w:t>
            </w:r>
          </w:p>
        </w:tc>
      </w:tr>
      <w:tr>
        <w:trPr>
          <w:cantSplit/>
        </w:trPr>
        <w:tc>
          <w:tcPr>
            <w:tcW w:type="dxa" w:w="2381"/>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Custodial wallet provider</w:t>
            </w:r>
          </w:p>
        </w:tc>
        <w:tc>
          <w:tcPr>
            <w:tcW w:type="dxa" w:w="85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CBK</w:t>
            </w:r>
          </w:p>
        </w:tc>
        <w:tc>
          <w:tcPr>
            <w:tcW w:type="dxa" w:w="5499"/>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Custody or control of customers’ private keys / wallet assets</w:t>
            </w:r>
          </w:p>
        </w:tc>
        <w:tc>
          <w:tcPr>
            <w:tcW w:type="dxa" w:w="73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 ]</w:t>
            </w:r>
          </w:p>
        </w:tc>
      </w:tr>
      <w:tr>
        <w:trPr>
          <w:cantSplit/>
        </w:trPr>
        <w:tc>
          <w:tcPr>
            <w:tcW w:type="dxa" w:w="2381"/>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Payment processor</w:t>
            </w:r>
          </w:p>
        </w:tc>
        <w:tc>
          <w:tcPr>
            <w:tcW w:type="dxa" w:w="850"/>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CBK</w:t>
            </w:r>
          </w:p>
        </w:tc>
        <w:tc>
          <w:tcPr>
            <w:tcW w:type="dxa" w:w="5499"/>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Gateway or arranging VA–fiat / VA–VA payment transactions</w:t>
            </w:r>
          </w:p>
        </w:tc>
        <w:tc>
          <w:tcPr>
            <w:tcW w:type="dxa" w:w="73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 ]</w:t>
            </w:r>
          </w:p>
        </w:tc>
      </w:tr>
      <w:tr>
        <w:trPr>
          <w:cantSplit/>
        </w:trPr>
        <w:tc>
          <w:tcPr>
            <w:tcW w:type="dxa" w:w="2381"/>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Fiat-referenced stablecoin issuer</w:t>
            </w:r>
          </w:p>
        </w:tc>
        <w:tc>
          <w:tcPr>
            <w:tcW w:type="dxa" w:w="85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CBK</w:t>
            </w:r>
          </w:p>
        </w:tc>
        <w:tc>
          <w:tcPr>
            <w:tcW w:type="dxa" w:w="5499"/>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Issuance, reserve management and redemption</w:t>
            </w:r>
          </w:p>
        </w:tc>
        <w:tc>
          <w:tcPr>
            <w:tcW w:type="dxa" w:w="73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 ]</w:t>
            </w:r>
          </w:p>
        </w:tc>
      </w:tr>
      <w:tr>
        <w:trPr>
          <w:cantSplit/>
        </w:trPr>
        <w:tc>
          <w:tcPr>
            <w:tcW w:type="dxa" w:w="2381"/>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Virtual-asset exchange</w:t>
            </w:r>
          </w:p>
        </w:tc>
        <w:tc>
          <w:tcPr>
            <w:tcW w:type="dxa" w:w="850"/>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CMA</w:t>
            </w:r>
          </w:p>
        </w:tc>
        <w:tc>
          <w:tcPr>
            <w:tcW w:type="dxa" w:w="5499"/>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Platform facilitating conversion, transfer or exchange</w:t>
            </w:r>
          </w:p>
        </w:tc>
        <w:tc>
          <w:tcPr>
            <w:tcW w:type="dxa" w:w="73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 ]</w:t>
            </w:r>
          </w:p>
        </w:tc>
      </w:tr>
      <w:tr>
        <w:trPr>
          <w:cantSplit/>
        </w:trPr>
        <w:tc>
          <w:tcPr>
            <w:tcW w:type="dxa" w:w="2381"/>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Virtual-asset broker</w:t>
            </w:r>
          </w:p>
        </w:tc>
        <w:tc>
          <w:tcPr>
            <w:tcW w:type="dxa" w:w="85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CMA</w:t>
            </w:r>
          </w:p>
        </w:tc>
        <w:tc>
          <w:tcPr>
            <w:tcW w:type="dxa" w:w="5499"/>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Arranging exchange transactions for clients</w:t>
            </w:r>
          </w:p>
        </w:tc>
        <w:tc>
          <w:tcPr>
            <w:tcW w:type="dxa" w:w="73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 ]</w:t>
            </w:r>
          </w:p>
        </w:tc>
      </w:tr>
      <w:tr>
        <w:trPr>
          <w:cantSplit/>
        </w:trPr>
        <w:tc>
          <w:tcPr>
            <w:tcW w:type="dxa" w:w="2381"/>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Investment adviser</w:t>
            </w:r>
          </w:p>
        </w:tc>
        <w:tc>
          <w:tcPr>
            <w:tcW w:type="dxa" w:w="850"/>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CMA</w:t>
            </w:r>
          </w:p>
        </w:tc>
        <w:tc>
          <w:tcPr>
            <w:tcW w:type="dxa" w:w="5499"/>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Advice on virtual assets, offerings or NFTs</w:t>
            </w:r>
          </w:p>
        </w:tc>
        <w:tc>
          <w:tcPr>
            <w:tcW w:type="dxa" w:w="73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 ]</w:t>
            </w:r>
          </w:p>
        </w:tc>
      </w:tr>
      <w:tr>
        <w:trPr>
          <w:cantSplit/>
        </w:trPr>
        <w:tc>
          <w:tcPr>
            <w:tcW w:type="dxa" w:w="2381"/>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Virtual-asset manager</w:t>
            </w:r>
          </w:p>
        </w:tc>
        <w:tc>
          <w:tcPr>
            <w:tcW w:type="dxa" w:w="85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CMA</w:t>
            </w:r>
          </w:p>
        </w:tc>
        <w:tc>
          <w:tcPr>
            <w:tcW w:type="dxa" w:w="5499"/>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Discretionary management of VA portfolios</w:t>
            </w:r>
          </w:p>
        </w:tc>
        <w:tc>
          <w:tcPr>
            <w:tcW w:type="dxa" w:w="73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 ]</w:t>
            </w:r>
          </w:p>
        </w:tc>
      </w:tr>
      <w:tr>
        <w:trPr>
          <w:cantSplit/>
        </w:trPr>
        <w:tc>
          <w:tcPr>
            <w:tcW w:type="dxa" w:w="2381"/>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Initial coin offering provider</w:t>
            </w:r>
          </w:p>
        </w:tc>
        <w:tc>
          <w:tcPr>
            <w:tcW w:type="dxa" w:w="850"/>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CMA</w:t>
            </w:r>
          </w:p>
        </w:tc>
        <w:tc>
          <w:tcPr>
            <w:tcW w:type="dxa" w:w="5499"/>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Issuing / selling virtual assets to the public</w:t>
            </w:r>
          </w:p>
        </w:tc>
        <w:tc>
          <w:tcPr>
            <w:tcW w:type="dxa" w:w="73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 ]</w:t>
            </w:r>
          </w:p>
        </w:tc>
      </w:tr>
      <w:tr>
        <w:trPr>
          <w:cantSplit/>
        </w:trPr>
        <w:tc>
          <w:tcPr>
            <w:tcW w:type="dxa" w:w="2381"/>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Tokenisation provider</w:t>
            </w:r>
          </w:p>
        </w:tc>
        <w:tc>
          <w:tcPr>
            <w:tcW w:type="dxa" w:w="85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CMA</w:t>
            </w:r>
          </w:p>
        </w:tc>
        <w:tc>
          <w:tcPr>
            <w:tcW w:type="dxa" w:w="5499"/>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Tokenisation of real-world assets</w:t>
            </w:r>
          </w:p>
        </w:tc>
        <w:tc>
          <w:tcPr>
            <w:tcW w:type="dxa" w:w="73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 ]</w:t>
            </w:r>
          </w:p>
        </w:tc>
      </w:tr>
      <w:tr>
        <w:trPr>
          <w:cantSplit/>
        </w:trPr>
        <w:tc>
          <w:tcPr>
            <w:tcW w:type="dxa" w:w="2381"/>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Token-issuance platform</w:t>
            </w:r>
          </w:p>
        </w:tc>
        <w:tc>
          <w:tcPr>
            <w:tcW w:type="dxa" w:w="850"/>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CMA</w:t>
            </w:r>
          </w:p>
        </w:tc>
        <w:tc>
          <w:tcPr>
            <w:tcW w:type="dxa" w:w="5499"/>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Platform for issuance / secondary trading of tokens</w:t>
            </w:r>
          </w:p>
        </w:tc>
        <w:tc>
          <w:tcPr>
            <w:tcW w:type="dxa" w:w="73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 ]</w:t>
            </w:r>
          </w:p>
        </w:tc>
      </w:tr>
    </w:tbl>
    <w:p/>
    <w:p>
      <w:pPr>
        <w:keepNext/>
        <w:spacing w:before="20" w:after="120" w:line="240" w:lineRule="auto"/>
      </w:pPr>
      <w:r>
        <w:rPr>
          <w:rFonts w:ascii="Georgia" w:hAnsi="Georgia" w:eastAsia="Georgia"/>
          <w:b w:val="0"/>
          <w:i w:val="0"/>
          <w:color w:val="2D073A"/>
          <w:sz w:val="26"/>
        </w:rPr>
        <w:t>Multi-licence and cross-border tests</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Does an exchange also operate its own custodial wallet or control withdrawal keys?</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Does the group receive economic benefit or income from customers or activity in Kenya?</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Which entity contracts, markets, collects fees, controls settlement and owns the technology?</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Are token, NFT or closed-ecosystem claims consistent with the asset's real function and transferability?</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Are there regulated payment, capital-markets, data-protection, consumer or AML/CFT dependencies outside the VASP framework?</w:t>
      </w:r>
    </w:p>
    <w:p>
      <w:pPr>
        <w:spacing w:before="0" w:after="60" w:line="252" w:lineRule="auto"/>
      </w:pPr>
      <w:r>
        <w:rPr>
          <w:rFonts w:ascii="Aptos" w:hAnsi="Aptos" w:eastAsia="Aptos"/>
          <w:b/>
          <w:i w:val="0"/>
          <w:color w:val="2D2430"/>
          <w:sz w:val="16"/>
        </w:rPr>
        <w:t>Provisional licence route(s)</w:t>
      </w:r>
      <w:r>
        <w:rPr>
          <w:rFonts w:ascii="Aptos" w:hAnsi="Aptos" w:eastAsia="Aptos"/>
          <w:b w:val="0"/>
          <w:i w:val="0"/>
          <w:color w:val="D8CEC2"/>
          <w:sz w:val="16"/>
        </w:rPr>
        <w:t xml:space="preserve">  ______________________________________________________________</w:t>
      </w:r>
    </w:p>
    <w:p>
      <w:pPr>
        <w:spacing w:before="0" w:after="60" w:line="252" w:lineRule="auto"/>
      </w:pPr>
      <w:r>
        <w:rPr>
          <w:rFonts w:ascii="Aptos" w:hAnsi="Aptos" w:eastAsia="Aptos"/>
          <w:b/>
          <w:i w:val="0"/>
          <w:color w:val="2D2430"/>
          <w:sz w:val="16"/>
        </w:rPr>
        <w:t>Open classification question(s)</w:t>
      </w:r>
      <w:r>
        <w:rPr>
          <w:rFonts w:ascii="Aptos" w:hAnsi="Aptos" w:eastAsia="Aptos"/>
          <w:b w:val="0"/>
          <w:i w:val="0"/>
          <w:color w:val="D8CEC2"/>
          <w:sz w:val="16"/>
        </w:rPr>
        <w:t xml:space="preserve">  ______________________________________________________________</w:t>
      </w:r>
    </w:p>
    <w:p>
      <w:pPr>
        <w:spacing w:before="0" w:after="60" w:line="252" w:lineRule="auto"/>
      </w:pPr>
      <w:r>
        <w:rPr>
          <w:rFonts w:ascii="Aptos" w:hAnsi="Aptos" w:eastAsia="Aptos"/>
          <w:b/>
          <w:i w:val="0"/>
          <w:color w:val="2D2430"/>
          <w:sz w:val="16"/>
        </w:rPr>
        <w:t>Advice / regulator engagement required by</w:t>
      </w:r>
      <w:r>
        <w:rPr>
          <w:rFonts w:ascii="Aptos" w:hAnsi="Aptos" w:eastAsia="Aptos"/>
          <w:b w:val="0"/>
          <w:i w:val="0"/>
          <w:color w:val="D8CEC2"/>
          <w:sz w:val="16"/>
        </w:rPr>
        <w:t xml:space="preserve">  ______________________________________________________________</w:t>
      </w:r>
    </w:p>
    <w:p>
      <w:r>
        <w:br w:type="page"/>
      </w:r>
    </w:p>
    <w:tbl>
      <w:tblPr>
        <w:tblW w:type="auto" w:w="0"/>
        <w:jc w:val="center"/>
        <w:tblLayout w:type="fixed"/>
        <w:tblLook w:firstColumn="1" w:firstRow="1" w:lastColumn="0" w:lastRow="0" w:noHBand="0" w:noVBand="1" w:val="04A0"/>
      </w:tblPr>
      <w:tblGrid>
        <w:gridCol w:w="5131"/>
        <w:gridCol w:w="5131"/>
      </w:tblGrid>
      <w:tr>
        <w:tc>
          <w:tcPr>
            <w:tcW w:type="dxa" w:w="907"/>
            <w:shd w:fill="B58A35"/>
            <w:tcMar>
              <w:top w:w="145" w:type="dxa"/>
              <w:start w:w="155" w:type="dxa"/>
              <w:bottom w:w="145" w:type="dxa"/>
              <w:end w:w="155" w:type="dxa"/>
            </w:tcMar>
            <w:vAlign w:val="center"/>
          </w:tcPr>
          <w:p>
            <w:pPr>
              <w:spacing w:before="0" w:after="0" w:line="252" w:lineRule="auto"/>
              <w:jc w:val="center"/>
            </w:pPr>
            <w:r>
              <w:rPr>
                <w:rFonts w:ascii="Georgia" w:hAnsi="Georgia" w:eastAsia="Georgia"/>
                <w:b/>
                <w:i w:val="0"/>
                <w:color w:val="FFFFFF"/>
                <w:sz w:val="30"/>
              </w:rPr>
              <w:t>03</w:t>
            </w:r>
          </w:p>
        </w:tc>
        <w:tc>
          <w:tcPr>
            <w:tcW w:type="dxa" w:w="9127"/>
            <w:shd w:fill="2D073A"/>
            <w:tcMar>
              <w:top w:w="145" w:type="dxa"/>
              <w:start w:w="155" w:type="dxa"/>
              <w:bottom w:w="145" w:type="dxa"/>
              <w:end w:w="155" w:type="dxa"/>
            </w:tcMar>
            <w:vAlign w:val="center"/>
          </w:tcPr>
          <w:p>
            <w:pPr>
              <w:spacing w:before="0" w:after="20" w:line="252" w:lineRule="auto"/>
            </w:pPr>
            <w:r>
              <w:rPr>
                <w:rFonts w:ascii="Aptos" w:hAnsi="Aptos" w:eastAsia="Aptos"/>
                <w:b/>
                <w:i w:val="0"/>
                <w:color w:val="E9C57E"/>
                <w:sz w:val="13"/>
              </w:rPr>
              <w:t>FINANCIAL READINESS</w:t>
            </w:r>
          </w:p>
          <w:p>
            <w:pPr>
              <w:spacing w:before="0" w:after="0" w:line="240" w:lineRule="auto"/>
            </w:pPr>
            <w:r>
              <w:rPr>
                <w:rFonts w:ascii="Georgia" w:hAnsi="Georgia" w:eastAsia="Georgia"/>
                <w:b w:val="0"/>
                <w:i w:val="0"/>
                <w:color w:val="FFFFFF"/>
                <w:sz w:val="31"/>
              </w:rPr>
              <w:t>Paid-up capital is a starting threshold—not the full prudential test</w:t>
            </w:r>
          </w:p>
        </w:tc>
      </w:tr>
    </w:tbl>
    <w:p>
      <w:pPr>
        <w:spacing w:before="0" w:after="100" w:line="259" w:lineRule="auto"/>
      </w:pPr>
      <w:r>
        <w:rPr>
          <w:rFonts w:ascii="Aptos" w:hAnsi="Aptos" w:eastAsia="Aptos"/>
          <w:b w:val="0"/>
          <w:i w:val="0"/>
          <w:color w:val="625B63"/>
          <w:sz w:val="16"/>
        </w:rPr>
        <w:t>The Fifth Schedule differentiates paid-up and liquid-capital requirements by activity. Insurance, reserves, liquidity, segregation and continuing financial requirements may also apply.</w:t>
      </w:r>
    </w:p>
    <w:tbl>
      <w:tblPr>
        <w:tblW w:type="auto" w:w="0"/>
        <w:jc w:val="center"/>
        <w:tblLayout w:type="fixed"/>
        <w:tblLook w:firstColumn="1" w:firstRow="1" w:lastColumn="0" w:lastRow="0" w:noHBand="0" w:noVBand="1" w:val="04A0"/>
        <w:tblBorders>
          <w:top w:val="single" w:sz="5" w:space="0" w:color="D8CEC2"/>
          <w:left w:val="single" w:sz="5" w:space="0" w:color="D8CEC2"/>
          <w:bottom w:val="single" w:sz="5" w:space="0" w:color="D8CEC2"/>
          <w:right w:val="single" w:sz="5" w:space="0" w:color="D8CEC2"/>
          <w:insideH w:val="single" w:sz="5" w:space="0" w:color="D8CEC2"/>
          <w:insideV w:val="single" w:sz="5" w:space="0" w:color="D8CEC2"/>
        </w:tblBorders>
      </w:tblPr>
      <w:tblGrid>
        <w:gridCol w:w="2565"/>
        <w:gridCol w:w="2565"/>
        <w:gridCol w:w="2565"/>
        <w:gridCol w:w="2565"/>
      </w:tblGrid>
      <w:tr>
        <w:trPr>
          <w:tblHeader w:val="true"/>
        </w:trPr>
        <w:tc>
          <w:tcPr>
            <w:tcW w:type="dxa" w:w="3004"/>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Licence category</w:t>
            </w:r>
          </w:p>
        </w:tc>
        <w:tc>
          <w:tcPr>
            <w:tcW w:type="dxa" w:w="907"/>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Route</w:t>
            </w:r>
          </w:p>
        </w:tc>
        <w:tc>
          <w:tcPr>
            <w:tcW w:type="dxa" w:w="2437"/>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Minimum paid-up capital*</w:t>
            </w:r>
          </w:p>
        </w:tc>
        <w:tc>
          <w:tcPr>
            <w:tcW w:type="dxa" w:w="3118"/>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Current evidence / gap</w:t>
            </w:r>
          </w:p>
        </w:tc>
      </w:tr>
      <w:tr>
        <w:trPr>
          <w:cantSplit/>
        </w:trPr>
        <w:tc>
          <w:tcPr>
            <w:tcW w:type="dxa" w:w="300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Wallet provider</w:t>
            </w:r>
          </w:p>
        </w:tc>
        <w:tc>
          <w:tcPr>
            <w:tcW w:type="dxa" w:w="90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CBK</w:t>
            </w:r>
          </w:p>
        </w:tc>
        <w:tc>
          <w:tcPr>
            <w:tcW w:type="dxa" w:w="243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KES 150m</w:t>
            </w:r>
          </w:p>
        </w:tc>
        <w:tc>
          <w:tcPr>
            <w:tcW w:type="dxa" w:w="3118"/>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 ] verified</w:t>
            </w:r>
          </w:p>
        </w:tc>
      </w:tr>
      <w:tr>
        <w:trPr>
          <w:cantSplit/>
        </w:trPr>
        <w:tc>
          <w:tcPr>
            <w:tcW w:type="dxa" w:w="3004"/>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Fiat-referenced stablecoin issuer</w:t>
            </w:r>
          </w:p>
        </w:tc>
        <w:tc>
          <w:tcPr>
            <w:tcW w:type="dxa" w:w="90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CBK</w:t>
            </w:r>
          </w:p>
        </w:tc>
        <w:tc>
          <w:tcPr>
            <w:tcW w:type="dxa" w:w="243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KES 300m</w:t>
            </w:r>
          </w:p>
        </w:tc>
        <w:tc>
          <w:tcPr>
            <w:tcW w:type="dxa" w:w="3118"/>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 ] verified</w:t>
            </w:r>
          </w:p>
        </w:tc>
      </w:tr>
      <w:tr>
        <w:trPr>
          <w:cantSplit/>
        </w:trPr>
        <w:tc>
          <w:tcPr>
            <w:tcW w:type="dxa" w:w="300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Payment processor</w:t>
            </w:r>
          </w:p>
        </w:tc>
        <w:tc>
          <w:tcPr>
            <w:tcW w:type="dxa" w:w="90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CBK</w:t>
            </w:r>
          </w:p>
        </w:tc>
        <w:tc>
          <w:tcPr>
            <w:tcW w:type="dxa" w:w="243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KES 10m</w:t>
            </w:r>
          </w:p>
        </w:tc>
        <w:tc>
          <w:tcPr>
            <w:tcW w:type="dxa" w:w="3118"/>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 ] verified</w:t>
            </w:r>
          </w:p>
        </w:tc>
      </w:tr>
      <w:tr>
        <w:trPr>
          <w:cantSplit/>
        </w:trPr>
        <w:tc>
          <w:tcPr>
            <w:tcW w:type="dxa" w:w="3004"/>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Virtual-asset exchange</w:t>
            </w:r>
          </w:p>
        </w:tc>
        <w:tc>
          <w:tcPr>
            <w:tcW w:type="dxa" w:w="90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CMA</w:t>
            </w:r>
          </w:p>
        </w:tc>
        <w:tc>
          <w:tcPr>
            <w:tcW w:type="dxa" w:w="243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KES 100m</w:t>
            </w:r>
          </w:p>
        </w:tc>
        <w:tc>
          <w:tcPr>
            <w:tcW w:type="dxa" w:w="3118"/>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 ] verified</w:t>
            </w:r>
          </w:p>
        </w:tc>
      </w:tr>
      <w:tr>
        <w:trPr>
          <w:cantSplit/>
        </w:trPr>
        <w:tc>
          <w:tcPr>
            <w:tcW w:type="dxa" w:w="300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Virtual-asset broker</w:t>
            </w:r>
          </w:p>
        </w:tc>
        <w:tc>
          <w:tcPr>
            <w:tcW w:type="dxa" w:w="90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CMA</w:t>
            </w:r>
          </w:p>
        </w:tc>
        <w:tc>
          <w:tcPr>
            <w:tcW w:type="dxa" w:w="243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KES 10m</w:t>
            </w:r>
          </w:p>
        </w:tc>
        <w:tc>
          <w:tcPr>
            <w:tcW w:type="dxa" w:w="3118"/>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 ] verified</w:t>
            </w:r>
          </w:p>
        </w:tc>
      </w:tr>
      <w:tr>
        <w:trPr>
          <w:cantSplit/>
        </w:trPr>
        <w:tc>
          <w:tcPr>
            <w:tcW w:type="dxa" w:w="3004"/>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Investment adviser</w:t>
            </w:r>
          </w:p>
        </w:tc>
        <w:tc>
          <w:tcPr>
            <w:tcW w:type="dxa" w:w="90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CMA</w:t>
            </w:r>
          </w:p>
        </w:tc>
        <w:tc>
          <w:tcPr>
            <w:tcW w:type="dxa" w:w="243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No prescribed minimum</w:t>
            </w:r>
          </w:p>
        </w:tc>
        <w:tc>
          <w:tcPr>
            <w:tcW w:type="dxa" w:w="3118"/>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 ] verified</w:t>
            </w:r>
          </w:p>
        </w:tc>
      </w:tr>
      <w:tr>
        <w:trPr>
          <w:cantSplit/>
        </w:trPr>
        <w:tc>
          <w:tcPr>
            <w:tcW w:type="dxa" w:w="300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Virtual-asset manager</w:t>
            </w:r>
          </w:p>
        </w:tc>
        <w:tc>
          <w:tcPr>
            <w:tcW w:type="dxa" w:w="90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CMA</w:t>
            </w:r>
          </w:p>
        </w:tc>
        <w:tc>
          <w:tcPr>
            <w:tcW w:type="dxa" w:w="243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KES 20m</w:t>
            </w:r>
          </w:p>
        </w:tc>
        <w:tc>
          <w:tcPr>
            <w:tcW w:type="dxa" w:w="3118"/>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 ] verified</w:t>
            </w:r>
          </w:p>
        </w:tc>
      </w:tr>
      <w:tr>
        <w:trPr>
          <w:cantSplit/>
        </w:trPr>
        <w:tc>
          <w:tcPr>
            <w:tcW w:type="dxa" w:w="3004"/>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ICO provider</w:t>
            </w:r>
          </w:p>
        </w:tc>
        <w:tc>
          <w:tcPr>
            <w:tcW w:type="dxa" w:w="90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CMA</w:t>
            </w:r>
          </w:p>
        </w:tc>
        <w:tc>
          <w:tcPr>
            <w:tcW w:type="dxa" w:w="243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KES 20m</w:t>
            </w:r>
          </w:p>
        </w:tc>
        <w:tc>
          <w:tcPr>
            <w:tcW w:type="dxa" w:w="3118"/>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 ] verified</w:t>
            </w:r>
          </w:p>
        </w:tc>
      </w:tr>
      <w:tr>
        <w:trPr>
          <w:cantSplit/>
        </w:trPr>
        <w:tc>
          <w:tcPr>
            <w:tcW w:type="dxa" w:w="300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Tokenisation provider</w:t>
            </w:r>
          </w:p>
        </w:tc>
        <w:tc>
          <w:tcPr>
            <w:tcW w:type="dxa" w:w="90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CMA</w:t>
            </w:r>
          </w:p>
        </w:tc>
        <w:tc>
          <w:tcPr>
            <w:tcW w:type="dxa" w:w="243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KES 10m</w:t>
            </w:r>
          </w:p>
        </w:tc>
        <w:tc>
          <w:tcPr>
            <w:tcW w:type="dxa" w:w="3118"/>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 ] verified</w:t>
            </w:r>
          </w:p>
        </w:tc>
      </w:tr>
      <w:tr>
        <w:trPr>
          <w:cantSplit/>
        </w:trPr>
        <w:tc>
          <w:tcPr>
            <w:tcW w:type="dxa" w:w="3004"/>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Token-issuance platform</w:t>
            </w:r>
          </w:p>
        </w:tc>
        <w:tc>
          <w:tcPr>
            <w:tcW w:type="dxa" w:w="90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CMA</w:t>
            </w:r>
          </w:p>
        </w:tc>
        <w:tc>
          <w:tcPr>
            <w:tcW w:type="dxa" w:w="243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KES 20m</w:t>
            </w:r>
          </w:p>
        </w:tc>
        <w:tc>
          <w:tcPr>
            <w:tcW w:type="dxa" w:w="3118"/>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4"/>
              </w:rPr>
              <w:t>[ ] verified</w:t>
            </w:r>
          </w:p>
        </w:tc>
      </w:tr>
    </w:tbl>
    <w:p>
      <w:pPr>
        <w:spacing w:before="60" w:after="140" w:line="252" w:lineRule="auto"/>
      </w:pPr>
      <w:r>
        <w:rPr>
          <w:rFonts w:ascii="Aptos" w:hAnsi="Aptos" w:eastAsia="Aptos"/>
          <w:b w:val="0"/>
          <w:i/>
          <w:color w:val="625B63"/>
          <w:sz w:val="13"/>
        </w:rPr>
        <w:t>* Reference amounts drawn from the final 2026 framework as reviewed on 17 August 2026. Verify the current Fifth Schedule, liquid-capital method, regulator directions and treatment of multi-activity applicants before relying on any amount.</w:t>
      </w:r>
    </w:p>
    <w:p>
      <w:pPr>
        <w:keepNext/>
        <w:spacing w:before="20" w:after="120" w:line="240" w:lineRule="auto"/>
      </w:pPr>
      <w:r>
        <w:rPr>
          <w:rFonts w:ascii="Georgia" w:hAnsi="Georgia" w:eastAsia="Georgia"/>
          <w:b w:val="0"/>
          <w:i w:val="0"/>
          <w:color w:val="2D073A"/>
          <w:sz w:val="26"/>
        </w:rPr>
        <w:t>Financial evidence checklist</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Paid-up capital is genuine qualifying capital, traceable to lawful source of funds and reflected in corporate and bank records.</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Liquid-capital, reserve, solvency and 30-day liability calculations are modelled where applicable.</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Three-year forecasts reconcile to customer volumes, fees, staffing, technology, insurance and regulatory costs.</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Client money and virtual assets are segregated from operating assets and third-party creditor claims.</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Audited / verified financial statements, bank evidence, tax records and financial-control policies are current.</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Insurance coverage reflects the nature, scale, custody, cyber, operational and professional risks.</w:t>
      </w:r>
    </w:p>
    <w:p>
      <w:pPr>
        <w:spacing w:before="0" w:after="60" w:line="252" w:lineRule="auto"/>
      </w:pPr>
      <w:r>
        <w:rPr>
          <w:rFonts w:ascii="Aptos" w:hAnsi="Aptos" w:eastAsia="Aptos"/>
          <w:b/>
          <w:i w:val="0"/>
          <w:color w:val="2D2430"/>
          <w:sz w:val="16"/>
        </w:rPr>
        <w:t>Capital gap and funding owner</w:t>
      </w:r>
      <w:r>
        <w:rPr>
          <w:rFonts w:ascii="Aptos" w:hAnsi="Aptos" w:eastAsia="Aptos"/>
          <w:b w:val="0"/>
          <w:i w:val="0"/>
          <w:color w:val="D8CEC2"/>
          <w:sz w:val="16"/>
        </w:rPr>
        <w:t xml:space="preserve">  ______________________________________________________________</w:t>
      </w:r>
    </w:p>
    <w:p>
      <w:pPr>
        <w:spacing w:before="0" w:after="60" w:line="252" w:lineRule="auto"/>
      </w:pPr>
      <w:r>
        <w:rPr>
          <w:rFonts w:ascii="Aptos" w:hAnsi="Aptos" w:eastAsia="Aptos"/>
          <w:b/>
          <w:i w:val="0"/>
          <w:color w:val="2D2430"/>
          <w:sz w:val="16"/>
        </w:rPr>
        <w:t>Funding completion target</w:t>
      </w:r>
      <w:r>
        <w:rPr>
          <w:rFonts w:ascii="Aptos" w:hAnsi="Aptos" w:eastAsia="Aptos"/>
          <w:b w:val="0"/>
          <w:i w:val="0"/>
          <w:color w:val="D8CEC2"/>
          <w:sz w:val="16"/>
        </w:rPr>
        <w:t xml:space="preserve">  ______________________________________________________________</w:t>
      </w:r>
    </w:p>
    <w:p>
      <w:r>
        <w:br w:type="page"/>
      </w:r>
    </w:p>
    <w:tbl>
      <w:tblPr>
        <w:tblW w:type="auto" w:w="0"/>
        <w:jc w:val="center"/>
        <w:tblLayout w:type="fixed"/>
        <w:tblLook w:firstColumn="1" w:firstRow="1" w:lastColumn="0" w:lastRow="0" w:noHBand="0" w:noVBand="1" w:val="04A0"/>
      </w:tblPr>
      <w:tblGrid>
        <w:gridCol w:w="5131"/>
        <w:gridCol w:w="5131"/>
      </w:tblGrid>
      <w:tr>
        <w:tc>
          <w:tcPr>
            <w:tcW w:type="dxa" w:w="907"/>
            <w:shd w:fill="B58A35"/>
            <w:tcMar>
              <w:top w:w="145" w:type="dxa"/>
              <w:start w:w="155" w:type="dxa"/>
              <w:bottom w:w="145" w:type="dxa"/>
              <w:end w:w="155" w:type="dxa"/>
            </w:tcMar>
            <w:vAlign w:val="center"/>
          </w:tcPr>
          <w:p>
            <w:pPr>
              <w:spacing w:before="0" w:after="0" w:line="252" w:lineRule="auto"/>
              <w:jc w:val="center"/>
            </w:pPr>
            <w:r>
              <w:rPr>
                <w:rFonts w:ascii="Georgia" w:hAnsi="Georgia" w:eastAsia="Georgia"/>
                <w:b/>
                <w:i w:val="0"/>
                <w:color w:val="FFFFFF"/>
                <w:sz w:val="30"/>
              </w:rPr>
              <w:t>04</w:t>
            </w:r>
          </w:p>
        </w:tc>
        <w:tc>
          <w:tcPr>
            <w:tcW w:type="dxa" w:w="9127"/>
            <w:shd w:fill="2D073A"/>
            <w:tcMar>
              <w:top w:w="145" w:type="dxa"/>
              <w:start w:w="155" w:type="dxa"/>
              <w:bottom w:w="145" w:type="dxa"/>
              <w:end w:w="155" w:type="dxa"/>
            </w:tcMar>
            <w:vAlign w:val="center"/>
          </w:tcPr>
          <w:p>
            <w:pPr>
              <w:spacing w:before="0" w:after="20" w:line="252" w:lineRule="auto"/>
            </w:pPr>
            <w:r>
              <w:rPr>
                <w:rFonts w:ascii="Aptos" w:hAnsi="Aptos" w:eastAsia="Aptos"/>
                <w:b/>
                <w:i w:val="0"/>
                <w:color w:val="E9C57E"/>
                <w:sz w:val="13"/>
              </w:rPr>
              <w:t>CORPORATE AND GOVERNANCE</w:t>
            </w:r>
          </w:p>
          <w:p>
            <w:pPr>
              <w:spacing w:before="0" w:after="0" w:line="240" w:lineRule="auto"/>
            </w:pPr>
            <w:r>
              <w:rPr>
                <w:rFonts w:ascii="Georgia" w:hAnsi="Georgia" w:eastAsia="Georgia"/>
                <w:b w:val="0"/>
                <w:i w:val="0"/>
                <w:color w:val="FFFFFF"/>
                <w:sz w:val="31"/>
              </w:rPr>
              <w:t>Build an accountable Kenyan operating structure</w:t>
            </w:r>
          </w:p>
        </w:tc>
      </w:tr>
    </w:tbl>
    <w:p>
      <w:pPr>
        <w:spacing w:before="0" w:after="100" w:line="259" w:lineRule="auto"/>
      </w:pPr>
      <w:r>
        <w:rPr>
          <w:rFonts w:ascii="Aptos" w:hAnsi="Aptos" w:eastAsia="Aptos"/>
          <w:b w:val="0"/>
          <w:i w:val="0"/>
          <w:color w:val="625B63"/>
          <w:sz w:val="16"/>
        </w:rPr>
        <w:t>Applicants should be able to show ownership, source of funds, local substance, collective board competence, independent challenge and effective control functions—not nominal appointments.</w:t>
      </w:r>
    </w:p>
    <w:tbl>
      <w:tblPr>
        <w:tblW w:type="auto" w:w="0"/>
        <w:jc w:val="center"/>
        <w:tblLayout w:type="fixed"/>
        <w:tblLook w:firstColumn="1" w:firstRow="1" w:lastColumn="0" w:lastRow="0" w:noHBand="0" w:noVBand="1" w:val="04A0"/>
        <w:tblBorders>
          <w:top w:val="single" w:sz="5" w:space="0" w:color="D8CEC2"/>
          <w:left w:val="single" w:sz="5" w:space="0" w:color="D8CEC2"/>
          <w:bottom w:val="single" w:sz="5" w:space="0" w:color="D8CEC2"/>
          <w:right w:val="single" w:sz="5" w:space="0" w:color="D8CEC2"/>
          <w:insideH w:val="single" w:sz="5" w:space="0" w:color="D8CEC2"/>
          <w:insideV w:val="single" w:sz="5" w:space="0" w:color="D8CEC2"/>
        </w:tblBorders>
      </w:tblPr>
      <w:tblGrid>
        <w:gridCol w:w="2565"/>
        <w:gridCol w:w="2565"/>
        <w:gridCol w:w="2565"/>
        <w:gridCol w:w="2565"/>
      </w:tblGrid>
      <w:tr>
        <w:trPr>
          <w:tblHeader w:val="true"/>
        </w:trPr>
        <w:tc>
          <w:tcPr>
            <w:tcW w:type="dxa" w:w="1303"/>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Area</w:t>
            </w:r>
          </w:p>
        </w:tc>
        <w:tc>
          <w:tcPr>
            <w:tcW w:type="dxa" w:w="4648"/>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Readiness question</w:t>
            </w:r>
          </w:p>
        </w:tc>
        <w:tc>
          <w:tcPr>
            <w:tcW w:type="dxa" w:w="2834"/>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Evidence</w:t>
            </w:r>
          </w:p>
        </w:tc>
        <w:tc>
          <w:tcPr>
            <w:tcW w:type="dxa" w:w="737"/>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Done</w:t>
            </w:r>
          </w:p>
        </w:tc>
      </w:tr>
      <w:tr>
        <w:trPr>
          <w:cantSplit/>
        </w:trPr>
        <w:tc>
          <w:tcPr>
            <w:tcW w:type="dxa" w:w="1303"/>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Corporate</w:t>
            </w:r>
          </w:p>
        </w:tc>
        <w:tc>
          <w:tcPr>
            <w:tcW w:type="dxa" w:w="4648"/>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Kenyan company / registered foreign company; objects; registered office; statutory registers</w:t>
            </w:r>
          </w:p>
        </w:tc>
        <w:tc>
          <w:tcPr>
            <w:tcW w:type="dxa" w:w="283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Company records</w:t>
            </w:r>
          </w:p>
        </w:tc>
        <w:tc>
          <w:tcPr>
            <w:tcW w:type="dxa" w:w="73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 ]</w:t>
            </w:r>
          </w:p>
        </w:tc>
      </w:tr>
      <w:tr>
        <w:trPr>
          <w:cantSplit/>
        </w:trPr>
        <w:tc>
          <w:tcPr>
            <w:tcW w:type="dxa" w:w="1303"/>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Ownership</w:t>
            </w:r>
          </w:p>
        </w:tc>
        <w:tc>
          <w:tcPr>
            <w:tcW w:type="dxa" w:w="4648"/>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Direct and ultimate beneficial ownership; source of funds; significant changes</w:t>
            </w:r>
          </w:p>
        </w:tc>
        <w:tc>
          <w:tcPr>
            <w:tcW w:type="dxa" w:w="2834"/>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Structure chart + BO file</w:t>
            </w:r>
          </w:p>
        </w:tc>
        <w:tc>
          <w:tcPr>
            <w:tcW w:type="dxa" w:w="73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 ]</w:t>
            </w:r>
          </w:p>
        </w:tc>
      </w:tr>
      <w:tr>
        <w:trPr>
          <w:cantSplit/>
        </w:trPr>
        <w:tc>
          <w:tcPr>
            <w:tcW w:type="dxa" w:w="1303"/>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Board</w:t>
            </w:r>
          </w:p>
        </w:tc>
        <w:tc>
          <w:tcPr>
            <w:tcW w:type="dxa" w:w="4648"/>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At least three directors; independence and chair / CEO separation tested</w:t>
            </w:r>
          </w:p>
        </w:tc>
        <w:tc>
          <w:tcPr>
            <w:tcW w:type="dxa" w:w="283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Board matrix + consents</w:t>
            </w:r>
          </w:p>
        </w:tc>
        <w:tc>
          <w:tcPr>
            <w:tcW w:type="dxa" w:w="73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 ]</w:t>
            </w:r>
          </w:p>
        </w:tc>
      </w:tr>
      <w:tr>
        <w:trPr>
          <w:cantSplit/>
        </w:trPr>
        <w:tc>
          <w:tcPr>
            <w:tcW w:type="dxa" w:w="1303"/>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Competence</w:t>
            </w:r>
          </w:p>
        </w:tc>
        <w:tc>
          <w:tcPr>
            <w:tcW w:type="dxa" w:w="4648"/>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Financial, legal, compliance, risk and technology experience collectively evidenced</w:t>
            </w:r>
          </w:p>
        </w:tc>
        <w:tc>
          <w:tcPr>
            <w:tcW w:type="dxa" w:w="2834"/>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Skills matrix + CVs</w:t>
            </w:r>
          </w:p>
        </w:tc>
        <w:tc>
          <w:tcPr>
            <w:tcW w:type="dxa" w:w="73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 ]</w:t>
            </w:r>
          </w:p>
        </w:tc>
      </w:tr>
      <w:tr>
        <w:trPr>
          <w:cantSplit/>
        </w:trPr>
        <w:tc>
          <w:tcPr>
            <w:tcW w:type="dxa" w:w="1303"/>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Fit and proper</w:t>
            </w:r>
          </w:p>
        </w:tc>
        <w:tc>
          <w:tcPr>
            <w:tcW w:type="dxa" w:w="4648"/>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Directors, senior officers, significant shareholders and beneficial owners</w:t>
            </w:r>
          </w:p>
        </w:tc>
        <w:tc>
          <w:tcPr>
            <w:tcW w:type="dxa" w:w="283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Individual evidence packs</w:t>
            </w:r>
          </w:p>
        </w:tc>
        <w:tc>
          <w:tcPr>
            <w:tcW w:type="dxa" w:w="73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 ]</w:t>
            </w:r>
          </w:p>
        </w:tc>
      </w:tr>
      <w:tr>
        <w:trPr>
          <w:cantSplit/>
        </w:trPr>
        <w:tc>
          <w:tcPr>
            <w:tcW w:type="dxa" w:w="1303"/>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Control functions</w:t>
            </w:r>
          </w:p>
        </w:tc>
        <w:tc>
          <w:tcPr>
            <w:tcW w:type="dxa" w:w="4648"/>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Compliance / MLRO, risk, finance, security and internal assurance ownership</w:t>
            </w:r>
          </w:p>
        </w:tc>
        <w:tc>
          <w:tcPr>
            <w:tcW w:type="dxa" w:w="2834"/>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Job descriptions + reporting</w:t>
            </w:r>
          </w:p>
        </w:tc>
        <w:tc>
          <w:tcPr>
            <w:tcW w:type="dxa" w:w="73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 ]</w:t>
            </w:r>
          </w:p>
        </w:tc>
      </w:tr>
      <w:tr>
        <w:trPr>
          <w:cantSplit/>
        </w:trPr>
        <w:tc>
          <w:tcPr>
            <w:tcW w:type="dxa" w:w="1303"/>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Delegations</w:t>
            </w:r>
          </w:p>
        </w:tc>
        <w:tc>
          <w:tcPr>
            <w:tcW w:type="dxa" w:w="4648"/>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Reserved matters, authority limits, incident escalation and regulatory notifications</w:t>
            </w:r>
          </w:p>
        </w:tc>
        <w:tc>
          <w:tcPr>
            <w:tcW w:type="dxa" w:w="283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Board-approved matrices</w:t>
            </w:r>
          </w:p>
        </w:tc>
        <w:tc>
          <w:tcPr>
            <w:tcW w:type="dxa" w:w="73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 ]</w:t>
            </w:r>
          </w:p>
        </w:tc>
      </w:tr>
      <w:tr>
        <w:trPr>
          <w:cantSplit/>
        </w:trPr>
        <w:tc>
          <w:tcPr>
            <w:tcW w:type="dxa" w:w="1303"/>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Local substance</w:t>
            </w:r>
          </w:p>
        </w:tc>
        <w:tc>
          <w:tcPr>
            <w:tcW w:type="dxa" w:w="4648"/>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Office, bank account, records, staffing, accountable officers and operational capability</w:t>
            </w:r>
          </w:p>
        </w:tc>
        <w:tc>
          <w:tcPr>
            <w:tcW w:type="dxa" w:w="2834"/>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Evidence bundle</w:t>
            </w:r>
          </w:p>
        </w:tc>
        <w:tc>
          <w:tcPr>
            <w:tcW w:type="dxa" w:w="73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 ]</w:t>
            </w:r>
          </w:p>
        </w:tc>
      </w:tr>
    </w:tbl>
    <w:p/>
    <w:p>
      <w:pPr>
        <w:keepNext/>
        <w:spacing w:before="20" w:after="120" w:line="240" w:lineRule="auto"/>
      </w:pPr>
      <w:r>
        <w:rPr>
          <w:rFonts w:ascii="Georgia" w:hAnsi="Georgia" w:eastAsia="Georgia"/>
          <w:b w:val="0"/>
          <w:i w:val="0"/>
          <w:color w:val="2D073A"/>
          <w:sz w:val="26"/>
        </w:rPr>
        <w:t>Board decision record</w:t>
      </w:r>
    </w:p>
    <w:p>
      <w:pPr>
        <w:spacing w:before="0" w:after="60" w:line="252" w:lineRule="auto"/>
      </w:pPr>
      <w:r>
        <w:rPr>
          <w:rFonts w:ascii="Aptos" w:hAnsi="Aptos" w:eastAsia="Aptos"/>
          <w:b/>
          <w:i w:val="0"/>
          <w:color w:val="2D2430"/>
          <w:sz w:val="16"/>
        </w:rPr>
        <w:t>Board sponsor and reporting frequency</w:t>
      </w:r>
      <w:r>
        <w:rPr>
          <w:rFonts w:ascii="Aptos" w:hAnsi="Aptos" w:eastAsia="Aptos"/>
          <w:b w:val="0"/>
          <w:i w:val="0"/>
          <w:color w:val="D8CEC2"/>
          <w:sz w:val="16"/>
        </w:rPr>
        <w:t xml:space="preserve">  ______________________________________________________________</w:t>
      </w:r>
    </w:p>
    <w:p>
      <w:pPr>
        <w:spacing w:before="0" w:after="60" w:line="252" w:lineRule="auto"/>
      </w:pPr>
      <w:r>
        <w:rPr>
          <w:rFonts w:ascii="Aptos" w:hAnsi="Aptos" w:eastAsia="Aptos"/>
          <w:b/>
          <w:i w:val="0"/>
          <w:color w:val="2D2430"/>
          <w:sz w:val="16"/>
        </w:rPr>
        <w:t>Independent director / competence gap</w:t>
      </w:r>
      <w:r>
        <w:rPr>
          <w:rFonts w:ascii="Aptos" w:hAnsi="Aptos" w:eastAsia="Aptos"/>
          <w:b w:val="0"/>
          <w:i w:val="0"/>
          <w:color w:val="D8CEC2"/>
          <w:sz w:val="16"/>
        </w:rPr>
        <w:t xml:space="preserve">  ______________________________________________________________</w:t>
      </w:r>
    </w:p>
    <w:p>
      <w:pPr>
        <w:spacing w:before="0" w:after="60" w:line="252" w:lineRule="auto"/>
      </w:pPr>
      <w:r>
        <w:rPr>
          <w:rFonts w:ascii="Aptos" w:hAnsi="Aptos" w:eastAsia="Aptos"/>
          <w:b/>
          <w:i w:val="0"/>
          <w:color w:val="2D2430"/>
          <w:sz w:val="16"/>
        </w:rPr>
        <w:t>MLRO and compliance accountability</w:t>
      </w:r>
      <w:r>
        <w:rPr>
          <w:rFonts w:ascii="Aptos" w:hAnsi="Aptos" w:eastAsia="Aptos"/>
          <w:b w:val="0"/>
          <w:i w:val="0"/>
          <w:color w:val="D8CEC2"/>
          <w:sz w:val="16"/>
        </w:rPr>
        <w:t xml:space="preserve">  ______________________________________________________________</w:t>
      </w:r>
    </w:p>
    <w:p>
      <w:pPr>
        <w:spacing w:before="0" w:after="60" w:line="252" w:lineRule="auto"/>
      </w:pPr>
      <w:r>
        <w:rPr>
          <w:rFonts w:ascii="Aptos" w:hAnsi="Aptos" w:eastAsia="Aptos"/>
          <w:b/>
          <w:i w:val="0"/>
          <w:color w:val="2D2430"/>
          <w:sz w:val="16"/>
        </w:rPr>
        <w:t>Critical appointment or approval deadline</w:t>
      </w:r>
      <w:r>
        <w:rPr>
          <w:rFonts w:ascii="Aptos" w:hAnsi="Aptos" w:eastAsia="Aptos"/>
          <w:b w:val="0"/>
          <w:i w:val="0"/>
          <w:color w:val="D8CEC2"/>
          <w:sz w:val="16"/>
        </w:rPr>
        <w:t xml:space="preserve">  ______________________________________________________________</w:t>
      </w:r>
    </w:p>
    <w:tbl>
      <w:tblPr>
        <w:tblW w:type="auto" w:w="0"/>
        <w:jc w:val="center"/>
        <w:tblLayout w:type="fixed"/>
        <w:tblLook w:firstColumn="1" w:firstRow="1" w:lastColumn="0" w:lastRow="0" w:noHBand="0" w:noVBand="1" w:val="04A0"/>
      </w:tblPr>
      <w:tblGrid>
        <w:gridCol w:w="10262"/>
      </w:tblGrid>
      <w:tr>
        <w:tc>
          <w:tcPr>
            <w:tcW w:type="dxa" w:w="10262"/>
            <w:shd w:fill="E8F1EC"/>
            <w:tcMar>
              <w:top w:w="130" w:type="dxa"/>
              <w:start w:w="160" w:type="dxa"/>
              <w:bottom w:w="130" w:type="dxa"/>
              <w:end w:w="160" w:type="dxa"/>
            </w:tcMar>
          </w:tcPr>
          <w:p>
            <w:pPr>
              <w:spacing w:before="0" w:after="60" w:line="252" w:lineRule="auto"/>
            </w:pPr>
            <w:r>
              <w:rPr>
                <w:rFonts w:ascii="Aptos" w:hAnsi="Aptos" w:eastAsia="Aptos"/>
                <w:b/>
                <w:i w:val="0"/>
                <w:color w:val="B58A35"/>
                <w:sz w:val="14"/>
              </w:rPr>
              <w:t>EVIDENCE STANDARD</w:t>
            </w:r>
          </w:p>
          <w:p>
            <w:pPr>
              <w:spacing w:before="0" w:after="0" w:line="259" w:lineRule="auto"/>
            </w:pPr>
            <w:r>
              <w:rPr>
                <w:rFonts w:ascii="Aptos" w:hAnsi="Aptos" w:eastAsia="Aptos"/>
                <w:b w:val="0"/>
                <w:i w:val="0"/>
                <w:color w:val="2D2430"/>
                <w:sz w:val="16"/>
              </w:rPr>
              <w:t>Every named role should be supported by a current appointment, responsibilities, reporting line, competence record, conflict disclosure, time commitment and access to systems and management information. Organograms alone do not demonstrate functioning governance.</w:t>
            </w:r>
          </w:p>
        </w:tc>
      </w:tr>
    </w:tbl>
    <w:p>
      <w:r>
        <w:br w:type="page"/>
      </w:r>
    </w:p>
    <w:tbl>
      <w:tblPr>
        <w:tblW w:type="auto" w:w="0"/>
        <w:jc w:val="center"/>
        <w:tblLayout w:type="fixed"/>
        <w:tblLook w:firstColumn="1" w:firstRow="1" w:lastColumn="0" w:lastRow="0" w:noHBand="0" w:noVBand="1" w:val="04A0"/>
      </w:tblPr>
      <w:tblGrid>
        <w:gridCol w:w="5131"/>
        <w:gridCol w:w="5131"/>
      </w:tblGrid>
      <w:tr>
        <w:tc>
          <w:tcPr>
            <w:tcW w:type="dxa" w:w="907"/>
            <w:shd w:fill="B58A35"/>
            <w:tcMar>
              <w:top w:w="145" w:type="dxa"/>
              <w:start w:w="155" w:type="dxa"/>
              <w:bottom w:w="145" w:type="dxa"/>
              <w:end w:w="155" w:type="dxa"/>
            </w:tcMar>
            <w:vAlign w:val="center"/>
          </w:tcPr>
          <w:p>
            <w:pPr>
              <w:spacing w:before="0" w:after="0" w:line="252" w:lineRule="auto"/>
              <w:jc w:val="center"/>
            </w:pPr>
            <w:r>
              <w:rPr>
                <w:rFonts w:ascii="Georgia" w:hAnsi="Georgia" w:eastAsia="Georgia"/>
                <w:b/>
                <w:i w:val="0"/>
                <w:color w:val="FFFFFF"/>
                <w:sz w:val="30"/>
              </w:rPr>
              <w:t>05</w:t>
            </w:r>
          </w:p>
        </w:tc>
        <w:tc>
          <w:tcPr>
            <w:tcW w:type="dxa" w:w="9127"/>
            <w:shd w:fill="2D073A"/>
            <w:tcMar>
              <w:top w:w="145" w:type="dxa"/>
              <w:start w:w="155" w:type="dxa"/>
              <w:bottom w:w="145" w:type="dxa"/>
              <w:end w:w="155" w:type="dxa"/>
            </w:tcMar>
            <w:vAlign w:val="center"/>
          </w:tcPr>
          <w:p>
            <w:pPr>
              <w:spacing w:before="0" w:after="20" w:line="252" w:lineRule="auto"/>
            </w:pPr>
            <w:r>
              <w:rPr>
                <w:rFonts w:ascii="Aptos" w:hAnsi="Aptos" w:eastAsia="Aptos"/>
                <w:b/>
                <w:i w:val="0"/>
                <w:color w:val="E9C57E"/>
                <w:sz w:val="13"/>
              </w:rPr>
              <w:t>BOARD-APPROVED POLICIES</w:t>
            </w:r>
          </w:p>
          <w:p>
            <w:pPr>
              <w:spacing w:before="0" w:after="0" w:line="240" w:lineRule="auto"/>
            </w:pPr>
            <w:r>
              <w:rPr>
                <w:rFonts w:ascii="Georgia" w:hAnsi="Georgia" w:eastAsia="Georgia"/>
                <w:b w:val="0"/>
                <w:i w:val="0"/>
                <w:color w:val="FFFFFF"/>
                <w:sz w:val="31"/>
              </w:rPr>
              <w:t>Track the nine core policy workstreams to operating evidence</w:t>
            </w:r>
          </w:p>
        </w:tc>
      </w:tr>
    </w:tbl>
    <w:p>
      <w:pPr>
        <w:spacing w:before="0" w:after="100" w:line="259" w:lineRule="auto"/>
      </w:pPr>
      <w:r>
        <w:rPr>
          <w:rFonts w:ascii="Aptos" w:hAnsi="Aptos" w:eastAsia="Aptos"/>
          <w:b w:val="0"/>
          <w:i w:val="0"/>
          <w:color w:val="625B63"/>
          <w:sz w:val="16"/>
        </w:rPr>
        <w:t>Do not treat policy approval as completion. Each policy should identify the actual product, systems, thresholds, owners, reporting, records, training, testing and board information used by the business.</w:t>
      </w:r>
    </w:p>
    <w:tbl>
      <w:tblPr>
        <w:tblW w:type="auto" w:w="0"/>
        <w:jc w:val="center"/>
        <w:tblLayout w:type="fixed"/>
        <w:tblLook w:firstColumn="1" w:firstRow="1" w:lastColumn="0" w:lastRow="0" w:noHBand="0" w:noVBand="1" w:val="04A0"/>
        <w:tblBorders>
          <w:top w:val="single" w:sz="5" w:space="0" w:color="D8CEC2"/>
          <w:left w:val="single" w:sz="5" w:space="0" w:color="D8CEC2"/>
          <w:bottom w:val="single" w:sz="5" w:space="0" w:color="D8CEC2"/>
          <w:right w:val="single" w:sz="5" w:space="0" w:color="D8CEC2"/>
          <w:insideH w:val="single" w:sz="5" w:space="0" w:color="D8CEC2"/>
          <w:insideV w:val="single" w:sz="5" w:space="0" w:color="D8CEC2"/>
        </w:tblBorders>
      </w:tblPr>
      <w:tblGrid>
        <w:gridCol w:w="2565"/>
        <w:gridCol w:w="2565"/>
        <w:gridCol w:w="2565"/>
        <w:gridCol w:w="2565"/>
      </w:tblGrid>
      <w:tr>
        <w:trPr>
          <w:tblHeader w:val="true"/>
        </w:trPr>
        <w:tc>
          <w:tcPr>
            <w:tcW w:type="dxa" w:w="481"/>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No.</w:t>
            </w:r>
          </w:p>
        </w:tc>
        <w:tc>
          <w:tcPr>
            <w:tcW w:type="dxa" w:w="1984"/>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Policy</w:t>
            </w:r>
          </w:p>
        </w:tc>
        <w:tc>
          <w:tcPr>
            <w:tcW w:type="dxa" w:w="4592"/>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Minimum operating content to test</w:t>
            </w:r>
          </w:p>
        </w:tc>
        <w:tc>
          <w:tcPr>
            <w:tcW w:type="dxa" w:w="2494"/>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Status</w:t>
            </w:r>
          </w:p>
        </w:tc>
      </w:tr>
      <w:tr>
        <w:trPr>
          <w:cantSplit/>
        </w:trPr>
        <w:tc>
          <w:tcPr>
            <w:tcW w:type="dxa" w:w="481"/>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01</w:t>
            </w:r>
          </w:p>
        </w:tc>
        <w:tc>
          <w:tcPr>
            <w:tcW w:type="dxa" w:w="198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Risk management</w:t>
            </w:r>
          </w:p>
        </w:tc>
        <w:tc>
          <w:tcPr>
            <w:tcW w:type="dxa" w:w="4592"/>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Risk taxonomy, appetite, assessment, controls, KRIs, incidents, reporting</w:t>
            </w:r>
          </w:p>
        </w:tc>
        <w:tc>
          <w:tcPr>
            <w:tcW w:type="dxa" w:w="249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 ] draft  [ ] approved  [ ] evidenced</w:t>
            </w:r>
          </w:p>
        </w:tc>
      </w:tr>
      <w:tr>
        <w:trPr>
          <w:cantSplit/>
        </w:trPr>
        <w:tc>
          <w:tcPr>
            <w:tcW w:type="dxa" w:w="481"/>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02</w:t>
            </w:r>
          </w:p>
        </w:tc>
        <w:tc>
          <w:tcPr>
            <w:tcW w:type="dxa" w:w="1984"/>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AML/CFT/CPF</w:t>
            </w:r>
          </w:p>
        </w:tc>
        <w:tc>
          <w:tcPr>
            <w:tcW w:type="dxa" w:w="4592"/>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Institutional risk, CDD/EDD, PEPs, sanctions, monitoring, STRs, travel rule</w:t>
            </w:r>
          </w:p>
        </w:tc>
        <w:tc>
          <w:tcPr>
            <w:tcW w:type="dxa" w:w="2494"/>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 ] draft  [ ] approved  [ ] evidenced</w:t>
            </w:r>
          </w:p>
        </w:tc>
      </w:tr>
      <w:tr>
        <w:trPr>
          <w:cantSplit/>
        </w:trPr>
        <w:tc>
          <w:tcPr>
            <w:tcW w:type="dxa" w:w="481"/>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03</w:t>
            </w:r>
          </w:p>
        </w:tc>
        <w:tc>
          <w:tcPr>
            <w:tcW w:type="dxa" w:w="198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Data protection &amp; privacy</w:t>
            </w:r>
          </w:p>
        </w:tc>
        <w:tc>
          <w:tcPr>
            <w:tcW w:type="dxa" w:w="4592"/>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Roles, purposes, notices, rights, DPIAs, transfers, retention, breaches</w:t>
            </w:r>
          </w:p>
        </w:tc>
        <w:tc>
          <w:tcPr>
            <w:tcW w:type="dxa" w:w="249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 ] draft  [ ] approved  [ ] evidenced</w:t>
            </w:r>
          </w:p>
        </w:tc>
      </w:tr>
      <w:tr>
        <w:trPr>
          <w:cantSplit/>
        </w:trPr>
        <w:tc>
          <w:tcPr>
            <w:tcW w:type="dxa" w:w="481"/>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04</w:t>
            </w:r>
          </w:p>
        </w:tc>
        <w:tc>
          <w:tcPr>
            <w:tcW w:type="dxa" w:w="1984"/>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Cybersecurity &amp; IT</w:t>
            </w:r>
          </w:p>
        </w:tc>
        <w:tc>
          <w:tcPr>
            <w:tcW w:type="dxa" w:w="4592"/>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Architecture, access, keys, testing, logging, incidents, vendors, recovery</w:t>
            </w:r>
          </w:p>
        </w:tc>
        <w:tc>
          <w:tcPr>
            <w:tcW w:type="dxa" w:w="2494"/>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 ] draft  [ ] approved  [ ] evidenced</w:t>
            </w:r>
          </w:p>
        </w:tc>
      </w:tr>
      <w:tr>
        <w:trPr>
          <w:cantSplit/>
        </w:trPr>
        <w:tc>
          <w:tcPr>
            <w:tcW w:type="dxa" w:w="481"/>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05</w:t>
            </w:r>
          </w:p>
        </w:tc>
        <w:tc>
          <w:tcPr>
            <w:tcW w:type="dxa" w:w="198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Complaints handling</w:t>
            </w:r>
          </w:p>
        </w:tc>
        <w:tc>
          <w:tcPr>
            <w:tcW w:type="dxa" w:w="4592"/>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Channels, ownership, time limits, escalation, redress, root-cause analysis</w:t>
            </w:r>
          </w:p>
        </w:tc>
        <w:tc>
          <w:tcPr>
            <w:tcW w:type="dxa" w:w="249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 ] draft  [ ] approved  [ ] evidenced</w:t>
            </w:r>
          </w:p>
        </w:tc>
      </w:tr>
      <w:tr>
        <w:trPr>
          <w:cantSplit/>
        </w:trPr>
        <w:tc>
          <w:tcPr>
            <w:tcW w:type="dxa" w:w="481"/>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06</w:t>
            </w:r>
          </w:p>
        </w:tc>
        <w:tc>
          <w:tcPr>
            <w:tcW w:type="dxa" w:w="1984"/>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Market conduct</w:t>
            </w:r>
          </w:p>
        </w:tc>
        <w:tc>
          <w:tcPr>
            <w:tcW w:type="dxa" w:w="4592"/>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Listings, dealing, surveillance, disclosures, promotions, abuse prevention</w:t>
            </w:r>
          </w:p>
        </w:tc>
        <w:tc>
          <w:tcPr>
            <w:tcW w:type="dxa" w:w="2494"/>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 ] draft  [ ] approved  [ ] evidenced</w:t>
            </w:r>
          </w:p>
        </w:tc>
      </w:tr>
      <w:tr>
        <w:trPr>
          <w:cantSplit/>
        </w:trPr>
        <w:tc>
          <w:tcPr>
            <w:tcW w:type="dxa" w:w="481"/>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07</w:t>
            </w:r>
          </w:p>
        </w:tc>
        <w:tc>
          <w:tcPr>
            <w:tcW w:type="dxa" w:w="198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Consumer protection</w:t>
            </w:r>
          </w:p>
        </w:tc>
        <w:tc>
          <w:tcPr>
            <w:tcW w:type="dxa" w:w="4592"/>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Fair terms, fees, risk warnings, suitability, asset safeguards, education</w:t>
            </w:r>
          </w:p>
        </w:tc>
        <w:tc>
          <w:tcPr>
            <w:tcW w:type="dxa" w:w="249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 ] draft  [ ] approved  [ ] evidenced</w:t>
            </w:r>
          </w:p>
        </w:tc>
      </w:tr>
      <w:tr>
        <w:trPr>
          <w:cantSplit/>
        </w:trPr>
        <w:tc>
          <w:tcPr>
            <w:tcW w:type="dxa" w:w="481"/>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08</w:t>
            </w:r>
          </w:p>
        </w:tc>
        <w:tc>
          <w:tcPr>
            <w:tcW w:type="dxa" w:w="1984"/>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Conflicts of interest</w:t>
            </w:r>
          </w:p>
        </w:tc>
        <w:tc>
          <w:tcPr>
            <w:tcW w:type="dxa" w:w="4592"/>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Identification, disclosure, controls, recusals, personal dealing, register</w:t>
            </w:r>
          </w:p>
        </w:tc>
        <w:tc>
          <w:tcPr>
            <w:tcW w:type="dxa" w:w="2494"/>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 ] draft  [ ] approved  [ ] evidenced</w:t>
            </w:r>
          </w:p>
        </w:tc>
      </w:tr>
      <w:tr>
        <w:trPr>
          <w:cantSplit/>
        </w:trPr>
        <w:tc>
          <w:tcPr>
            <w:tcW w:type="dxa" w:w="481"/>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09</w:t>
            </w:r>
          </w:p>
        </w:tc>
        <w:tc>
          <w:tcPr>
            <w:tcW w:type="dxa" w:w="198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Business continuity &amp; DR</w:t>
            </w:r>
          </w:p>
        </w:tc>
        <w:tc>
          <w:tcPr>
            <w:tcW w:type="dxa" w:w="4592"/>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Scenarios, recovery targets, backups, communications, dependencies, tests</w:t>
            </w:r>
          </w:p>
        </w:tc>
        <w:tc>
          <w:tcPr>
            <w:tcW w:type="dxa" w:w="249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 ] draft  [ ] approved  [ ] evidenced</w:t>
            </w:r>
          </w:p>
        </w:tc>
      </w:tr>
    </w:tbl>
    <w:p/>
    <w:p>
      <w:pPr>
        <w:keepNext/>
        <w:spacing w:before="20" w:after="120" w:line="240" w:lineRule="auto"/>
      </w:pPr>
      <w:r>
        <w:rPr>
          <w:rFonts w:ascii="Georgia" w:hAnsi="Georgia" w:eastAsia="Georgia"/>
          <w:b w:val="0"/>
          <w:i w:val="0"/>
          <w:color w:val="2D073A"/>
          <w:sz w:val="26"/>
        </w:rPr>
        <w:t>Policy-control validation</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Each control has a named owner, system or manual step, record, frequency and exception path.</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Policies use the same service, customer, custody, partner and transaction definitions as the business plan.</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Board approval dates, version history, training and annual / trigger-based review cycles are recorded.</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System screenshots, reports, tickets, logs, test results and sampled case files demonstrate operation.</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Outsourced controls preserve oversight, audit access, incident reporting, subcontracting control and exit capability.</w:t>
      </w:r>
    </w:p>
    <w:p>
      <w:r>
        <w:br w:type="page"/>
      </w:r>
    </w:p>
    <w:tbl>
      <w:tblPr>
        <w:tblW w:type="auto" w:w="0"/>
        <w:jc w:val="center"/>
        <w:tblLayout w:type="fixed"/>
        <w:tblLook w:firstColumn="1" w:firstRow="1" w:lastColumn="0" w:lastRow="0" w:noHBand="0" w:noVBand="1" w:val="04A0"/>
      </w:tblPr>
      <w:tblGrid>
        <w:gridCol w:w="5131"/>
        <w:gridCol w:w="5131"/>
      </w:tblGrid>
      <w:tr>
        <w:tc>
          <w:tcPr>
            <w:tcW w:type="dxa" w:w="907"/>
            <w:shd w:fill="B58A35"/>
            <w:tcMar>
              <w:top w:w="145" w:type="dxa"/>
              <w:start w:w="155" w:type="dxa"/>
              <w:bottom w:w="145" w:type="dxa"/>
              <w:end w:w="155" w:type="dxa"/>
            </w:tcMar>
            <w:vAlign w:val="center"/>
          </w:tcPr>
          <w:p>
            <w:pPr>
              <w:spacing w:before="0" w:after="0" w:line="252" w:lineRule="auto"/>
              <w:jc w:val="center"/>
            </w:pPr>
            <w:r>
              <w:rPr>
                <w:rFonts w:ascii="Georgia" w:hAnsi="Georgia" w:eastAsia="Georgia"/>
                <w:b/>
                <w:i w:val="0"/>
                <w:color w:val="FFFFFF"/>
                <w:sz w:val="30"/>
              </w:rPr>
              <w:t>06</w:t>
            </w:r>
          </w:p>
        </w:tc>
        <w:tc>
          <w:tcPr>
            <w:tcW w:type="dxa" w:w="9127"/>
            <w:shd w:fill="2D073A"/>
            <w:tcMar>
              <w:top w:w="145" w:type="dxa"/>
              <w:start w:w="155" w:type="dxa"/>
              <w:bottom w:w="145" w:type="dxa"/>
              <w:end w:w="155" w:type="dxa"/>
            </w:tcMar>
            <w:vAlign w:val="center"/>
          </w:tcPr>
          <w:p>
            <w:pPr>
              <w:spacing w:before="0" w:after="20" w:line="252" w:lineRule="auto"/>
            </w:pPr>
            <w:r>
              <w:rPr>
                <w:rFonts w:ascii="Aptos" w:hAnsi="Aptos" w:eastAsia="Aptos"/>
                <w:b/>
                <w:i w:val="0"/>
                <w:color w:val="E9C57E"/>
                <w:sz w:val="13"/>
              </w:rPr>
              <w:t>OPERATIONAL CONTROL EVIDENCE</w:t>
            </w:r>
          </w:p>
          <w:p>
            <w:pPr>
              <w:spacing w:before="0" w:after="0" w:line="240" w:lineRule="auto"/>
            </w:pPr>
            <w:r>
              <w:rPr>
                <w:rFonts w:ascii="Georgia" w:hAnsi="Georgia" w:eastAsia="Georgia"/>
                <w:b w:val="0"/>
                <w:i w:val="0"/>
                <w:color w:val="FFFFFF"/>
                <w:sz w:val="31"/>
              </w:rPr>
              <w:t>Connect AML/CFT, custody, technology and conduct to the transaction lifecycle</w:t>
            </w:r>
          </w:p>
        </w:tc>
      </w:tr>
    </w:tbl>
    <w:tbl>
      <w:tblPr>
        <w:tblW w:type="auto" w:w="0"/>
        <w:jc w:val="center"/>
        <w:tblLayout w:type="fixed"/>
        <w:tblLook w:firstColumn="1" w:firstRow="1" w:lastColumn="0" w:lastRow="0" w:noHBand="0" w:noVBand="1" w:val="04A0"/>
        <w:tblBorders>
          <w:top w:val="single" w:sz="5" w:space="0" w:color="D8CEC2"/>
          <w:left w:val="single" w:sz="5" w:space="0" w:color="D8CEC2"/>
          <w:bottom w:val="single" w:sz="5" w:space="0" w:color="D8CEC2"/>
          <w:right w:val="single" w:sz="5" w:space="0" w:color="D8CEC2"/>
          <w:insideH w:val="single" w:sz="5" w:space="0" w:color="D8CEC2"/>
          <w:insideV w:val="single" w:sz="5" w:space="0" w:color="D8CEC2"/>
        </w:tblBorders>
      </w:tblPr>
      <w:tblGrid>
        <w:gridCol w:w="2565"/>
        <w:gridCol w:w="2565"/>
        <w:gridCol w:w="2565"/>
        <w:gridCol w:w="2565"/>
      </w:tblGrid>
      <w:tr>
        <w:trPr>
          <w:tblHeader w:val="true"/>
        </w:trPr>
        <w:tc>
          <w:tcPr>
            <w:tcW w:type="dxa" w:w="1814"/>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Workstream</w:t>
            </w:r>
          </w:p>
        </w:tc>
        <w:tc>
          <w:tcPr>
            <w:tcW w:type="dxa" w:w="4422"/>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Control question</w:t>
            </w:r>
          </w:p>
        </w:tc>
        <w:tc>
          <w:tcPr>
            <w:tcW w:type="dxa" w:w="2664"/>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Evidence examples</w:t>
            </w:r>
          </w:p>
        </w:tc>
        <w:tc>
          <w:tcPr>
            <w:tcW w:type="dxa" w:w="623"/>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Done</w:t>
            </w:r>
          </w:p>
        </w:tc>
      </w:tr>
      <w:tr>
        <w:trPr>
          <w:cantSplit/>
        </w:trPr>
        <w:tc>
          <w:tcPr>
            <w:tcW w:type="dxa" w:w="181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Customer onboarding</w:t>
            </w:r>
          </w:p>
        </w:tc>
        <w:tc>
          <w:tcPr>
            <w:tcW w:type="dxa" w:w="4422"/>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CDD / EDD, beneficial owners, source, purpose, expected activity, risk rating</w:t>
            </w:r>
          </w:p>
        </w:tc>
        <w:tc>
          <w:tcPr>
            <w:tcW w:type="dxa" w:w="266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Sample files; decision log; rules</w:t>
            </w:r>
          </w:p>
        </w:tc>
        <w:tc>
          <w:tcPr>
            <w:tcW w:type="dxa" w:w="623"/>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 ]</w:t>
            </w:r>
          </w:p>
        </w:tc>
      </w:tr>
      <w:tr>
        <w:trPr>
          <w:cantSplit/>
        </w:trPr>
        <w:tc>
          <w:tcPr>
            <w:tcW w:type="dxa" w:w="1814"/>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Screening</w:t>
            </w:r>
          </w:p>
        </w:tc>
        <w:tc>
          <w:tcPr>
            <w:tcW w:type="dxa" w:w="4422"/>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PEP, sanctions, adverse information and targeted financial sanctions across lifecycle</w:t>
            </w:r>
          </w:p>
        </w:tc>
        <w:tc>
          <w:tcPr>
            <w:tcW w:type="dxa" w:w="2664"/>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Vendor settings; hits; escalation</w:t>
            </w:r>
          </w:p>
        </w:tc>
        <w:tc>
          <w:tcPr>
            <w:tcW w:type="dxa" w:w="623"/>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 ]</w:t>
            </w:r>
          </w:p>
        </w:tc>
      </w:tr>
      <w:tr>
        <w:trPr>
          <w:cantSplit/>
        </w:trPr>
        <w:tc>
          <w:tcPr>
            <w:tcW w:type="dxa" w:w="181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Transaction monitoring</w:t>
            </w:r>
          </w:p>
        </w:tc>
        <w:tc>
          <w:tcPr>
            <w:tcW w:type="dxa" w:w="4422"/>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VA and fiat scenarios, wallet risk, velocity, structuring, typologies and alerts</w:t>
            </w:r>
          </w:p>
        </w:tc>
        <w:tc>
          <w:tcPr>
            <w:tcW w:type="dxa" w:w="266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Rules; cases; tuning; MI</w:t>
            </w:r>
          </w:p>
        </w:tc>
        <w:tc>
          <w:tcPr>
            <w:tcW w:type="dxa" w:w="623"/>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 ]</w:t>
            </w:r>
          </w:p>
        </w:tc>
      </w:tr>
      <w:tr>
        <w:trPr>
          <w:cantSplit/>
        </w:trPr>
        <w:tc>
          <w:tcPr>
            <w:tcW w:type="dxa" w:w="1814"/>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Travel rule</w:t>
            </w:r>
          </w:p>
        </w:tc>
        <w:tc>
          <w:tcPr>
            <w:tcW w:type="dxa" w:w="4422"/>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Required originator / beneficiary data, exchange, validation, rejection and records</w:t>
            </w:r>
          </w:p>
        </w:tc>
        <w:tc>
          <w:tcPr>
            <w:tcW w:type="dxa" w:w="2664"/>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Data map; messages; exceptions</w:t>
            </w:r>
          </w:p>
        </w:tc>
        <w:tc>
          <w:tcPr>
            <w:tcW w:type="dxa" w:w="623"/>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 ]</w:t>
            </w:r>
          </w:p>
        </w:tc>
      </w:tr>
      <w:tr>
        <w:trPr>
          <w:cantSplit/>
        </w:trPr>
        <w:tc>
          <w:tcPr>
            <w:tcW w:type="dxa" w:w="181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Custody and keys</w:t>
            </w:r>
          </w:p>
        </w:tc>
        <w:tc>
          <w:tcPr>
            <w:tcW w:type="dxa" w:w="4422"/>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Key generation, storage, access, quorum, recovery, segregation and reconciliation</w:t>
            </w:r>
          </w:p>
        </w:tc>
        <w:tc>
          <w:tcPr>
            <w:tcW w:type="dxa" w:w="266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Architecture; ceremonies; logs</w:t>
            </w:r>
          </w:p>
        </w:tc>
        <w:tc>
          <w:tcPr>
            <w:tcW w:type="dxa" w:w="623"/>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 ]</w:t>
            </w:r>
          </w:p>
        </w:tc>
      </w:tr>
      <w:tr>
        <w:trPr>
          <w:cantSplit/>
        </w:trPr>
        <w:tc>
          <w:tcPr>
            <w:tcW w:type="dxa" w:w="1814"/>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Customer assets</w:t>
            </w:r>
          </w:p>
        </w:tc>
        <w:tc>
          <w:tcPr>
            <w:tcW w:type="dxa" w:w="4422"/>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Legal ownership, account / wallet segregation, daily reconciliation and insolvency protection</w:t>
            </w:r>
          </w:p>
        </w:tc>
        <w:tc>
          <w:tcPr>
            <w:tcW w:type="dxa" w:w="2664"/>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Ledgers; statements; legal docs</w:t>
            </w:r>
          </w:p>
        </w:tc>
        <w:tc>
          <w:tcPr>
            <w:tcW w:type="dxa" w:w="623"/>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 ]</w:t>
            </w:r>
          </w:p>
        </w:tc>
      </w:tr>
      <w:tr>
        <w:trPr>
          <w:cantSplit/>
        </w:trPr>
        <w:tc>
          <w:tcPr>
            <w:tcW w:type="dxa" w:w="181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Cybersecurity</w:t>
            </w:r>
          </w:p>
        </w:tc>
        <w:tc>
          <w:tcPr>
            <w:tcW w:type="dxa" w:w="4422"/>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Access, vulnerability / penetration testing, change, logging, incident and vendor controls</w:t>
            </w:r>
          </w:p>
        </w:tc>
        <w:tc>
          <w:tcPr>
            <w:tcW w:type="dxa" w:w="266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Reports; remediation; tests</w:t>
            </w:r>
          </w:p>
        </w:tc>
        <w:tc>
          <w:tcPr>
            <w:tcW w:type="dxa" w:w="623"/>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 ]</w:t>
            </w:r>
          </w:p>
        </w:tc>
      </w:tr>
      <w:tr>
        <w:trPr>
          <w:cantSplit/>
        </w:trPr>
        <w:tc>
          <w:tcPr>
            <w:tcW w:type="dxa" w:w="1814"/>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Business continuity</w:t>
            </w:r>
          </w:p>
        </w:tc>
        <w:tc>
          <w:tcPr>
            <w:tcW w:type="dxa" w:w="4422"/>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Impact analysis, recovery targets, backups, alternate processes and exercises</w:t>
            </w:r>
          </w:p>
        </w:tc>
        <w:tc>
          <w:tcPr>
            <w:tcW w:type="dxa" w:w="2664"/>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BIA; plans; exercise report</w:t>
            </w:r>
          </w:p>
        </w:tc>
        <w:tc>
          <w:tcPr>
            <w:tcW w:type="dxa" w:w="623"/>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 ]</w:t>
            </w:r>
          </w:p>
        </w:tc>
      </w:tr>
      <w:tr>
        <w:trPr>
          <w:cantSplit/>
        </w:trPr>
        <w:tc>
          <w:tcPr>
            <w:tcW w:type="dxa" w:w="181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Data protection</w:t>
            </w:r>
          </w:p>
        </w:tc>
        <w:tc>
          <w:tcPr>
            <w:tcW w:type="dxa" w:w="4422"/>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Purpose, basis, notices, security, retention, rights, DPIA and transfer safeguards</w:t>
            </w:r>
          </w:p>
        </w:tc>
        <w:tc>
          <w:tcPr>
            <w:tcW w:type="dxa" w:w="266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ROPA; notices; DPIA; contracts</w:t>
            </w:r>
          </w:p>
        </w:tc>
        <w:tc>
          <w:tcPr>
            <w:tcW w:type="dxa" w:w="623"/>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 ]</w:t>
            </w:r>
          </w:p>
        </w:tc>
      </w:tr>
      <w:tr>
        <w:trPr>
          <w:cantSplit/>
        </w:trPr>
        <w:tc>
          <w:tcPr>
            <w:tcW w:type="dxa" w:w="1814"/>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Customer conduct</w:t>
            </w:r>
          </w:p>
        </w:tc>
        <w:tc>
          <w:tcPr>
            <w:tcW w:type="dxa" w:w="4422"/>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Terms, fees, risks, promotions, complaints, suitability and education</w:t>
            </w:r>
          </w:p>
        </w:tc>
        <w:tc>
          <w:tcPr>
            <w:tcW w:type="dxa" w:w="2664"/>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Journey; disclosures; complaint MI</w:t>
            </w:r>
          </w:p>
        </w:tc>
        <w:tc>
          <w:tcPr>
            <w:tcW w:type="dxa" w:w="623"/>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 ]</w:t>
            </w:r>
          </w:p>
        </w:tc>
      </w:tr>
      <w:tr>
        <w:trPr>
          <w:cantSplit/>
        </w:trPr>
        <w:tc>
          <w:tcPr>
            <w:tcW w:type="dxa" w:w="181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Market integrity</w:t>
            </w:r>
          </w:p>
        </w:tc>
        <w:tc>
          <w:tcPr>
            <w:tcW w:type="dxa" w:w="4422"/>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Listing, conflicts, insider dealing, manipulation, surveillance and escalation</w:t>
            </w:r>
          </w:p>
        </w:tc>
        <w:tc>
          <w:tcPr>
            <w:tcW w:type="dxa" w:w="266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Policy; alerts; committee minutes</w:t>
            </w:r>
          </w:p>
        </w:tc>
        <w:tc>
          <w:tcPr>
            <w:tcW w:type="dxa" w:w="623"/>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 ]</w:t>
            </w:r>
          </w:p>
        </w:tc>
      </w:tr>
      <w:tr>
        <w:trPr>
          <w:cantSplit/>
        </w:trPr>
        <w:tc>
          <w:tcPr>
            <w:tcW w:type="dxa" w:w="1814"/>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Regulatory reporting</w:t>
            </w:r>
          </w:p>
        </w:tc>
        <w:tc>
          <w:tcPr>
            <w:tcW w:type="dxa" w:w="4422"/>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Returns, audited financials, incidents, changes, complaints and material events</w:t>
            </w:r>
          </w:p>
        </w:tc>
        <w:tc>
          <w:tcPr>
            <w:tcW w:type="dxa" w:w="2664"/>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Calendar; owners; sign-off</w:t>
            </w:r>
          </w:p>
        </w:tc>
        <w:tc>
          <w:tcPr>
            <w:tcW w:type="dxa" w:w="623"/>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 ]</w:t>
            </w:r>
          </w:p>
        </w:tc>
      </w:tr>
    </w:tbl>
    <w:p/>
    <w:tbl>
      <w:tblPr>
        <w:tblW w:type="auto" w:w="0"/>
        <w:jc w:val="center"/>
        <w:tblLayout w:type="fixed"/>
        <w:tblLook w:firstColumn="1" w:firstRow="1" w:lastColumn="0" w:lastRow="0" w:noHBand="0" w:noVBand="1" w:val="04A0"/>
      </w:tblPr>
      <w:tblGrid>
        <w:gridCol w:w="10262"/>
      </w:tblGrid>
      <w:tr>
        <w:tc>
          <w:tcPr>
            <w:tcW w:type="dxa" w:w="10262"/>
            <w:shd w:fill="F7ECD4"/>
            <w:tcMar>
              <w:top w:w="130" w:type="dxa"/>
              <w:start w:w="160" w:type="dxa"/>
              <w:bottom w:w="130" w:type="dxa"/>
              <w:end w:w="160" w:type="dxa"/>
            </w:tcMar>
          </w:tcPr>
          <w:p>
            <w:pPr>
              <w:spacing w:before="0" w:after="60" w:line="252" w:lineRule="auto"/>
            </w:pPr>
            <w:r>
              <w:rPr>
                <w:rFonts w:ascii="Aptos" w:hAnsi="Aptos" w:eastAsia="Aptos"/>
                <w:b/>
                <w:i w:val="0"/>
                <w:color w:val="B58A35"/>
                <w:sz w:val="14"/>
              </w:rPr>
              <w:t>TESTING RULE</w:t>
            </w:r>
          </w:p>
          <w:p>
            <w:pPr>
              <w:spacing w:before="0" w:after="0" w:line="259" w:lineRule="auto"/>
            </w:pPr>
            <w:r>
              <w:rPr>
                <w:rFonts w:ascii="Aptos" w:hAnsi="Aptos" w:eastAsia="Aptos"/>
                <w:b w:val="0"/>
                <w:i w:val="0"/>
                <w:color w:val="2D2430"/>
                <w:sz w:val="16"/>
              </w:rPr>
              <w:t>A written control should be traceable to a customer screen, data field, rule, approval, report, case, alert, reconciliation, ticket, log or tested manual procedure. Record any control that depends on a future build or unsigned third-party arrangement as an open gap.</w:t>
            </w:r>
          </w:p>
        </w:tc>
      </w:tr>
    </w:tbl>
    <w:p>
      <w:r>
        <w:br w:type="page"/>
      </w:r>
    </w:p>
    <w:tbl>
      <w:tblPr>
        <w:tblW w:type="auto" w:w="0"/>
        <w:jc w:val="center"/>
        <w:tblLayout w:type="fixed"/>
        <w:tblLook w:firstColumn="1" w:firstRow="1" w:lastColumn="0" w:lastRow="0" w:noHBand="0" w:noVBand="1" w:val="04A0"/>
      </w:tblPr>
      <w:tblGrid>
        <w:gridCol w:w="5131"/>
        <w:gridCol w:w="5131"/>
      </w:tblGrid>
      <w:tr>
        <w:tc>
          <w:tcPr>
            <w:tcW w:type="dxa" w:w="907"/>
            <w:shd w:fill="B58A35"/>
            <w:tcMar>
              <w:top w:w="145" w:type="dxa"/>
              <w:start w:w="155" w:type="dxa"/>
              <w:bottom w:w="145" w:type="dxa"/>
              <w:end w:w="155" w:type="dxa"/>
            </w:tcMar>
            <w:vAlign w:val="center"/>
          </w:tcPr>
          <w:p>
            <w:pPr>
              <w:spacing w:before="0" w:after="0" w:line="252" w:lineRule="auto"/>
              <w:jc w:val="center"/>
            </w:pPr>
            <w:r>
              <w:rPr>
                <w:rFonts w:ascii="Georgia" w:hAnsi="Georgia" w:eastAsia="Georgia"/>
                <w:b/>
                <w:i w:val="0"/>
                <w:color w:val="FFFFFF"/>
                <w:sz w:val="30"/>
              </w:rPr>
              <w:t>07</w:t>
            </w:r>
          </w:p>
        </w:tc>
        <w:tc>
          <w:tcPr>
            <w:tcW w:type="dxa" w:w="9127"/>
            <w:shd w:fill="2D073A"/>
            <w:tcMar>
              <w:top w:w="145" w:type="dxa"/>
              <w:start w:w="155" w:type="dxa"/>
              <w:bottom w:w="145" w:type="dxa"/>
              <w:end w:w="155" w:type="dxa"/>
            </w:tcMar>
            <w:vAlign w:val="center"/>
          </w:tcPr>
          <w:p>
            <w:pPr>
              <w:spacing w:before="0" w:after="20" w:line="252" w:lineRule="auto"/>
            </w:pPr>
            <w:r>
              <w:rPr>
                <w:rFonts w:ascii="Aptos" w:hAnsi="Aptos" w:eastAsia="Aptos"/>
                <w:b/>
                <w:i w:val="0"/>
                <w:color w:val="E9C57E"/>
                <w:sz w:val="13"/>
              </w:rPr>
              <w:t>APPLICATION EVIDENCE REGISTER</w:t>
            </w:r>
          </w:p>
          <w:p>
            <w:pPr>
              <w:spacing w:before="0" w:after="0" w:line="240" w:lineRule="auto"/>
            </w:pPr>
            <w:r>
              <w:rPr>
                <w:rFonts w:ascii="Georgia" w:hAnsi="Georgia" w:eastAsia="Georgia"/>
                <w:b w:val="0"/>
                <w:i w:val="0"/>
                <w:color w:val="FFFFFF"/>
                <w:sz w:val="31"/>
              </w:rPr>
              <w:t>Control the file that the regulator will actually review</w:t>
            </w:r>
          </w:p>
        </w:tc>
      </w:tr>
    </w:tbl>
    <w:p>
      <w:pPr>
        <w:spacing w:before="0" w:after="100" w:line="259" w:lineRule="auto"/>
      </w:pPr>
      <w:r>
        <w:rPr>
          <w:rFonts w:ascii="Aptos" w:hAnsi="Aptos" w:eastAsia="Aptos"/>
          <w:b w:val="0"/>
          <w:i w:val="0"/>
          <w:color w:val="625B63"/>
          <w:sz w:val="16"/>
        </w:rPr>
        <w:t>Use one evidence ID and one approved version for every item. Replace the illustrative rows below with the regulator-specific checklist and current application form.</w:t>
      </w:r>
    </w:p>
    <w:tbl>
      <w:tblPr>
        <w:tblW w:type="auto" w:w="0"/>
        <w:jc w:val="center"/>
        <w:tblLayout w:type="fixed"/>
        <w:tblLook w:firstColumn="1" w:firstRow="1" w:lastColumn="0" w:lastRow="0" w:noHBand="0" w:noVBand="1" w:val="04A0"/>
        <w:tblBorders>
          <w:top w:val="single" w:sz="5" w:space="0" w:color="D8CEC2"/>
          <w:left w:val="single" w:sz="5" w:space="0" w:color="D8CEC2"/>
          <w:bottom w:val="single" w:sz="5" w:space="0" w:color="D8CEC2"/>
          <w:right w:val="single" w:sz="5" w:space="0" w:color="D8CEC2"/>
          <w:insideH w:val="single" w:sz="5" w:space="0" w:color="D8CEC2"/>
          <w:insideV w:val="single" w:sz="5" w:space="0" w:color="D8CEC2"/>
        </w:tblBorders>
      </w:tblPr>
      <w:tblGrid>
        <w:gridCol w:w="1710"/>
        <w:gridCol w:w="1710"/>
        <w:gridCol w:w="1710"/>
        <w:gridCol w:w="1710"/>
        <w:gridCol w:w="1710"/>
        <w:gridCol w:w="1710"/>
      </w:tblGrid>
      <w:tr>
        <w:trPr>
          <w:tblHeader w:val="true"/>
        </w:trPr>
        <w:tc>
          <w:tcPr>
            <w:tcW w:type="dxa" w:w="680"/>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ID</w:t>
            </w:r>
          </w:p>
        </w:tc>
        <w:tc>
          <w:tcPr>
            <w:tcW w:type="dxa" w:w="3231"/>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Evidence item</w:t>
            </w:r>
          </w:p>
        </w:tc>
        <w:tc>
          <w:tcPr>
            <w:tcW w:type="dxa" w:w="1587"/>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Owner</w:t>
            </w:r>
          </w:p>
        </w:tc>
        <w:tc>
          <w:tcPr>
            <w:tcW w:type="dxa" w:w="850"/>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State</w:t>
            </w:r>
          </w:p>
        </w:tc>
        <w:tc>
          <w:tcPr>
            <w:tcW w:type="dxa" w:w="1247"/>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Target</w:t>
            </w:r>
          </w:p>
        </w:tc>
        <w:tc>
          <w:tcPr>
            <w:tcW w:type="dxa" w:w="1927"/>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Gap / next step</w:t>
            </w:r>
          </w:p>
        </w:tc>
      </w:tr>
      <w:tr>
        <w:trPr>
          <w:cantSplit/>
        </w:trPr>
        <w:tc>
          <w:tcPr>
            <w:tcW w:type="dxa" w:w="68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A-01</w:t>
            </w:r>
          </w:p>
        </w:tc>
        <w:tc>
          <w:tcPr>
            <w:tcW w:type="dxa" w:w="3231"/>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Activity / licence map</w:t>
            </w:r>
          </w:p>
        </w:tc>
        <w:tc>
          <w:tcPr>
            <w:tcW w:type="dxa" w:w="158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Legal / product</w:t>
            </w:r>
          </w:p>
        </w:tc>
        <w:tc>
          <w:tcPr>
            <w:tcW w:type="dxa" w:w="85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Draft</w:t>
            </w:r>
          </w:p>
        </w:tc>
        <w:tc>
          <w:tcPr>
            <w:tcW w:type="dxa" w:w="124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__ / __ / 26</w:t>
            </w:r>
          </w:p>
        </w:tc>
        <w:tc>
          <w:tcPr>
            <w:tcW w:type="dxa" w:w="192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Open perimeter issue</w:t>
            </w:r>
          </w:p>
        </w:tc>
      </w:tr>
      <w:tr>
        <w:trPr>
          <w:cantSplit/>
        </w:trPr>
        <w:tc>
          <w:tcPr>
            <w:tcW w:type="dxa" w:w="680"/>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A-02</w:t>
            </w:r>
          </w:p>
        </w:tc>
        <w:tc>
          <w:tcPr>
            <w:tcW w:type="dxa" w:w="3231"/>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End-to-end transaction and custody flow</w:t>
            </w:r>
          </w:p>
        </w:tc>
        <w:tc>
          <w:tcPr>
            <w:tcW w:type="dxa" w:w="158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Product / tech</w:t>
            </w:r>
          </w:p>
        </w:tc>
        <w:tc>
          <w:tcPr>
            <w:tcW w:type="dxa" w:w="850"/>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Draft</w:t>
            </w:r>
          </w:p>
        </w:tc>
        <w:tc>
          <w:tcPr>
            <w:tcW w:type="dxa" w:w="124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__ / __ / 26</w:t>
            </w:r>
          </w:p>
        </w:tc>
        <w:tc>
          <w:tcPr>
            <w:tcW w:type="dxa" w:w="192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Reconcile to contracts</w:t>
            </w:r>
          </w:p>
        </w:tc>
      </w:tr>
      <w:tr>
        <w:trPr>
          <w:cantSplit/>
        </w:trPr>
        <w:tc>
          <w:tcPr>
            <w:tcW w:type="dxa" w:w="68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B-01</w:t>
            </w:r>
          </w:p>
        </w:tc>
        <w:tc>
          <w:tcPr>
            <w:tcW w:type="dxa" w:w="3231"/>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Corporate and beneficial-ownership file</w:t>
            </w:r>
          </w:p>
        </w:tc>
        <w:tc>
          <w:tcPr>
            <w:tcW w:type="dxa" w:w="158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Company secretary</w:t>
            </w:r>
          </w:p>
        </w:tc>
        <w:tc>
          <w:tcPr>
            <w:tcW w:type="dxa" w:w="85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Open</w:t>
            </w:r>
          </w:p>
        </w:tc>
        <w:tc>
          <w:tcPr>
            <w:tcW w:type="dxa" w:w="124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__ / __ / 26</w:t>
            </w:r>
          </w:p>
        </w:tc>
        <w:tc>
          <w:tcPr>
            <w:tcW w:type="dxa" w:w="192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Source of funds</w:t>
            </w:r>
          </w:p>
        </w:tc>
      </w:tr>
      <w:tr>
        <w:trPr>
          <w:cantSplit/>
        </w:trPr>
        <w:tc>
          <w:tcPr>
            <w:tcW w:type="dxa" w:w="680"/>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B-02</w:t>
            </w:r>
          </w:p>
        </w:tc>
        <w:tc>
          <w:tcPr>
            <w:tcW w:type="dxa" w:w="3231"/>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Fit-and-proper packs</w:t>
            </w:r>
          </w:p>
        </w:tc>
        <w:tc>
          <w:tcPr>
            <w:tcW w:type="dxa" w:w="158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HR / legal</w:t>
            </w:r>
          </w:p>
        </w:tc>
        <w:tc>
          <w:tcPr>
            <w:tcW w:type="dxa" w:w="850"/>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Open</w:t>
            </w:r>
          </w:p>
        </w:tc>
        <w:tc>
          <w:tcPr>
            <w:tcW w:type="dxa" w:w="124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__ / __ / 26</w:t>
            </w:r>
          </w:p>
        </w:tc>
        <w:tc>
          <w:tcPr>
            <w:tcW w:type="dxa" w:w="192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Independent director</w:t>
            </w:r>
          </w:p>
        </w:tc>
      </w:tr>
      <w:tr>
        <w:trPr>
          <w:cantSplit/>
        </w:trPr>
        <w:tc>
          <w:tcPr>
            <w:tcW w:type="dxa" w:w="68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C-01</w:t>
            </w:r>
          </w:p>
        </w:tc>
        <w:tc>
          <w:tcPr>
            <w:tcW w:type="dxa" w:w="3231"/>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Business plan and three-year model</w:t>
            </w:r>
          </w:p>
        </w:tc>
        <w:tc>
          <w:tcPr>
            <w:tcW w:type="dxa" w:w="158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CEO / finance</w:t>
            </w:r>
          </w:p>
        </w:tc>
        <w:tc>
          <w:tcPr>
            <w:tcW w:type="dxa" w:w="85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Open</w:t>
            </w:r>
          </w:p>
        </w:tc>
        <w:tc>
          <w:tcPr>
            <w:tcW w:type="dxa" w:w="124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__ / __ / 26</w:t>
            </w:r>
          </w:p>
        </w:tc>
        <w:tc>
          <w:tcPr>
            <w:tcW w:type="dxa" w:w="192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Capital evidence</w:t>
            </w:r>
          </w:p>
        </w:tc>
      </w:tr>
      <w:tr>
        <w:trPr>
          <w:cantSplit/>
        </w:trPr>
        <w:tc>
          <w:tcPr>
            <w:tcW w:type="dxa" w:w="680"/>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C-02</w:t>
            </w:r>
          </w:p>
        </w:tc>
        <w:tc>
          <w:tcPr>
            <w:tcW w:type="dxa" w:w="3231"/>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Paid-up / liquid-capital evidence</w:t>
            </w:r>
          </w:p>
        </w:tc>
        <w:tc>
          <w:tcPr>
            <w:tcW w:type="dxa" w:w="158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Finance</w:t>
            </w:r>
          </w:p>
        </w:tc>
        <w:tc>
          <w:tcPr>
            <w:tcW w:type="dxa" w:w="850"/>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Open</w:t>
            </w:r>
          </w:p>
        </w:tc>
        <w:tc>
          <w:tcPr>
            <w:tcW w:type="dxa" w:w="124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__ / __ / 26</w:t>
            </w:r>
          </w:p>
        </w:tc>
        <w:tc>
          <w:tcPr>
            <w:tcW w:type="dxa" w:w="192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Method verification</w:t>
            </w:r>
          </w:p>
        </w:tc>
      </w:tr>
      <w:tr>
        <w:trPr>
          <w:cantSplit/>
        </w:trPr>
        <w:tc>
          <w:tcPr>
            <w:tcW w:type="dxa" w:w="68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D-01</w:t>
            </w:r>
          </w:p>
        </w:tc>
        <w:tc>
          <w:tcPr>
            <w:tcW w:type="dxa" w:w="3231"/>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Nine-policy suite and approvals</w:t>
            </w:r>
          </w:p>
        </w:tc>
        <w:tc>
          <w:tcPr>
            <w:tcW w:type="dxa" w:w="158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Compliance</w:t>
            </w:r>
          </w:p>
        </w:tc>
        <w:tc>
          <w:tcPr>
            <w:tcW w:type="dxa" w:w="85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Open</w:t>
            </w:r>
          </w:p>
        </w:tc>
        <w:tc>
          <w:tcPr>
            <w:tcW w:type="dxa" w:w="124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__ / __ / 26</w:t>
            </w:r>
          </w:p>
        </w:tc>
        <w:tc>
          <w:tcPr>
            <w:tcW w:type="dxa" w:w="192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System mapping</w:t>
            </w:r>
          </w:p>
        </w:tc>
      </w:tr>
      <w:tr>
        <w:trPr>
          <w:cantSplit/>
        </w:trPr>
        <w:tc>
          <w:tcPr>
            <w:tcW w:type="dxa" w:w="680"/>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D-02</w:t>
            </w:r>
          </w:p>
        </w:tc>
        <w:tc>
          <w:tcPr>
            <w:tcW w:type="dxa" w:w="3231"/>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AML/CFT institutional risk assessment</w:t>
            </w:r>
          </w:p>
        </w:tc>
        <w:tc>
          <w:tcPr>
            <w:tcW w:type="dxa" w:w="158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MLRO</w:t>
            </w:r>
          </w:p>
        </w:tc>
        <w:tc>
          <w:tcPr>
            <w:tcW w:type="dxa" w:w="850"/>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Open</w:t>
            </w:r>
          </w:p>
        </w:tc>
        <w:tc>
          <w:tcPr>
            <w:tcW w:type="dxa" w:w="124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__ / __ / 26</w:t>
            </w:r>
          </w:p>
        </w:tc>
        <w:tc>
          <w:tcPr>
            <w:tcW w:type="dxa" w:w="192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VA typologies</w:t>
            </w:r>
          </w:p>
        </w:tc>
      </w:tr>
      <w:tr>
        <w:trPr>
          <w:cantSplit/>
        </w:trPr>
        <w:tc>
          <w:tcPr>
            <w:tcW w:type="dxa" w:w="68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E-01</w:t>
            </w:r>
          </w:p>
        </w:tc>
        <w:tc>
          <w:tcPr>
            <w:tcW w:type="dxa" w:w="3231"/>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Architecture, cyber and key-control evidence</w:t>
            </w:r>
          </w:p>
        </w:tc>
        <w:tc>
          <w:tcPr>
            <w:tcW w:type="dxa" w:w="158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CTO / CISO</w:t>
            </w:r>
          </w:p>
        </w:tc>
        <w:tc>
          <w:tcPr>
            <w:tcW w:type="dxa" w:w="85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Open</w:t>
            </w:r>
          </w:p>
        </w:tc>
        <w:tc>
          <w:tcPr>
            <w:tcW w:type="dxa" w:w="124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__ / __ / 26</w:t>
            </w:r>
          </w:p>
        </w:tc>
        <w:tc>
          <w:tcPr>
            <w:tcW w:type="dxa" w:w="192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Independent testing</w:t>
            </w:r>
          </w:p>
        </w:tc>
      </w:tr>
      <w:tr>
        <w:trPr>
          <w:cantSplit/>
        </w:trPr>
        <w:tc>
          <w:tcPr>
            <w:tcW w:type="dxa" w:w="680"/>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E-02</w:t>
            </w:r>
          </w:p>
        </w:tc>
        <w:tc>
          <w:tcPr>
            <w:tcW w:type="dxa" w:w="3231"/>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BCP / DR plan and exercise report</w:t>
            </w:r>
          </w:p>
        </w:tc>
        <w:tc>
          <w:tcPr>
            <w:tcW w:type="dxa" w:w="158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Operations</w:t>
            </w:r>
          </w:p>
        </w:tc>
        <w:tc>
          <w:tcPr>
            <w:tcW w:type="dxa" w:w="850"/>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Open</w:t>
            </w:r>
          </w:p>
        </w:tc>
        <w:tc>
          <w:tcPr>
            <w:tcW w:type="dxa" w:w="124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__ / __ / 26</w:t>
            </w:r>
          </w:p>
        </w:tc>
        <w:tc>
          <w:tcPr>
            <w:tcW w:type="dxa" w:w="192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Critical vendors</w:t>
            </w:r>
          </w:p>
        </w:tc>
      </w:tr>
      <w:tr>
        <w:trPr>
          <w:cantSplit/>
        </w:trPr>
        <w:tc>
          <w:tcPr>
            <w:tcW w:type="dxa" w:w="68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F-01</w:t>
            </w:r>
          </w:p>
        </w:tc>
        <w:tc>
          <w:tcPr>
            <w:tcW w:type="dxa" w:w="3231"/>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Customer terms, disclosures and complaints</w:t>
            </w:r>
          </w:p>
        </w:tc>
        <w:tc>
          <w:tcPr>
            <w:tcW w:type="dxa" w:w="158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Legal / conduct</w:t>
            </w:r>
          </w:p>
        </w:tc>
        <w:tc>
          <w:tcPr>
            <w:tcW w:type="dxa" w:w="85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Open</w:t>
            </w:r>
          </w:p>
        </w:tc>
        <w:tc>
          <w:tcPr>
            <w:tcW w:type="dxa" w:w="124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__ / __ / 26</w:t>
            </w:r>
          </w:p>
        </w:tc>
        <w:tc>
          <w:tcPr>
            <w:tcW w:type="dxa" w:w="192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Journey alignment</w:t>
            </w:r>
          </w:p>
        </w:tc>
      </w:tr>
      <w:tr>
        <w:trPr>
          <w:cantSplit/>
        </w:trPr>
        <w:tc>
          <w:tcPr>
            <w:tcW w:type="dxa" w:w="680"/>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F-02</w:t>
            </w:r>
          </w:p>
        </w:tc>
        <w:tc>
          <w:tcPr>
            <w:tcW w:type="dxa" w:w="3231"/>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Material vendor, bank and insurance documents</w:t>
            </w:r>
          </w:p>
        </w:tc>
        <w:tc>
          <w:tcPr>
            <w:tcW w:type="dxa" w:w="158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Procurement</w:t>
            </w:r>
          </w:p>
        </w:tc>
        <w:tc>
          <w:tcPr>
            <w:tcW w:type="dxa" w:w="850"/>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Open</w:t>
            </w:r>
          </w:p>
        </w:tc>
        <w:tc>
          <w:tcPr>
            <w:tcW w:type="dxa" w:w="124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__ / __ / 26</w:t>
            </w:r>
          </w:p>
        </w:tc>
        <w:tc>
          <w:tcPr>
            <w:tcW w:type="dxa" w:w="192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Unsigned items</w:t>
            </w:r>
          </w:p>
        </w:tc>
      </w:tr>
      <w:tr>
        <w:trPr>
          <w:cantSplit/>
        </w:trPr>
        <w:tc>
          <w:tcPr>
            <w:tcW w:type="dxa" w:w="68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G-01</w:t>
            </w:r>
          </w:p>
        </w:tc>
        <w:tc>
          <w:tcPr>
            <w:tcW w:type="dxa" w:w="3231"/>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Submission consistency and sign-off record</w:t>
            </w:r>
          </w:p>
        </w:tc>
        <w:tc>
          <w:tcPr>
            <w:tcW w:type="dxa" w:w="158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Programme lead</w:t>
            </w:r>
          </w:p>
        </w:tc>
        <w:tc>
          <w:tcPr>
            <w:tcW w:type="dxa" w:w="85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Open</w:t>
            </w:r>
          </w:p>
        </w:tc>
        <w:tc>
          <w:tcPr>
            <w:tcW w:type="dxa" w:w="124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__ / __ / 26</w:t>
            </w:r>
          </w:p>
        </w:tc>
        <w:tc>
          <w:tcPr>
            <w:tcW w:type="dxa" w:w="192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2"/>
              </w:rPr>
              <w:t>Board approval</w:t>
            </w:r>
          </w:p>
        </w:tc>
      </w:tr>
    </w:tbl>
    <w:p/>
    <w:p>
      <w:pPr>
        <w:keepNext/>
        <w:spacing w:before="20" w:after="120" w:line="240" w:lineRule="auto"/>
      </w:pPr>
      <w:r>
        <w:rPr>
          <w:rFonts w:ascii="Georgia" w:hAnsi="Georgia" w:eastAsia="Georgia"/>
          <w:b w:val="0"/>
          <w:i w:val="0"/>
          <w:color w:val="2D073A"/>
          <w:sz w:val="26"/>
        </w:rPr>
        <w:t>Version and submission controls</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One controlled index identifies document owner, version, approval, source and submission status.</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Business plan, financial model, product flow, contracts and policies use the same facts and terminology.</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Regulator questions are logged; any answer that changes the model triggers updates across the full file.</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No draft, unsigned or superseded document is submitted without being clearly identified and explained.</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Board and authorised signatories approve the final application record and known open issues.</w:t>
      </w:r>
    </w:p>
    <w:p>
      <w:r>
        <w:br w:type="page"/>
      </w:r>
    </w:p>
    <w:tbl>
      <w:tblPr>
        <w:tblW w:type="auto" w:w="0"/>
        <w:jc w:val="center"/>
        <w:tblLayout w:type="fixed"/>
        <w:tblLook w:firstColumn="1" w:firstRow="1" w:lastColumn="0" w:lastRow="0" w:noHBand="0" w:noVBand="1" w:val="04A0"/>
      </w:tblPr>
      <w:tblGrid>
        <w:gridCol w:w="5131"/>
        <w:gridCol w:w="5131"/>
      </w:tblGrid>
      <w:tr>
        <w:tc>
          <w:tcPr>
            <w:tcW w:type="dxa" w:w="907"/>
            <w:shd w:fill="B58A35"/>
            <w:tcMar>
              <w:top w:w="145" w:type="dxa"/>
              <w:start w:w="155" w:type="dxa"/>
              <w:bottom w:w="145" w:type="dxa"/>
              <w:end w:w="155" w:type="dxa"/>
            </w:tcMar>
            <w:vAlign w:val="center"/>
          </w:tcPr>
          <w:p>
            <w:pPr>
              <w:spacing w:before="0" w:after="0" w:line="252" w:lineRule="auto"/>
              <w:jc w:val="center"/>
            </w:pPr>
            <w:r>
              <w:rPr>
                <w:rFonts w:ascii="Georgia" w:hAnsi="Georgia" w:eastAsia="Georgia"/>
                <w:b/>
                <w:i w:val="0"/>
                <w:color w:val="FFFFFF"/>
                <w:sz w:val="30"/>
              </w:rPr>
              <w:t>08</w:t>
            </w:r>
          </w:p>
        </w:tc>
        <w:tc>
          <w:tcPr>
            <w:tcW w:type="dxa" w:w="9127"/>
            <w:shd w:fill="2D073A"/>
            <w:tcMar>
              <w:top w:w="145" w:type="dxa"/>
              <w:start w:w="155" w:type="dxa"/>
              <w:bottom w:w="145" w:type="dxa"/>
              <w:end w:w="155" w:type="dxa"/>
            </w:tcMar>
            <w:vAlign w:val="center"/>
          </w:tcPr>
          <w:p>
            <w:pPr>
              <w:spacing w:before="0" w:after="20" w:line="252" w:lineRule="auto"/>
            </w:pPr>
            <w:r>
              <w:rPr>
                <w:rFonts w:ascii="Aptos" w:hAnsi="Aptos" w:eastAsia="Aptos"/>
                <w:b/>
                <w:i w:val="0"/>
                <w:color w:val="E9C57E"/>
                <w:sz w:val="13"/>
              </w:rPr>
              <w:t>IMPLEMENTATION PLAN</w:t>
            </w:r>
          </w:p>
          <w:p>
            <w:pPr>
              <w:spacing w:before="0" w:after="0" w:line="240" w:lineRule="auto"/>
            </w:pPr>
            <w:r>
              <w:rPr>
                <w:rFonts w:ascii="Georgia" w:hAnsi="Georgia" w:eastAsia="Georgia"/>
                <w:b w:val="0"/>
                <w:i w:val="0"/>
                <w:color w:val="FFFFFF"/>
                <w:sz w:val="31"/>
              </w:rPr>
              <w:t>A board-owned 30 / 60 / 90-day readiness sequence</w:t>
            </w:r>
          </w:p>
        </w:tc>
      </w:tr>
    </w:tbl>
    <w:p>
      <w:pPr>
        <w:spacing w:before="0" w:after="100" w:line="259" w:lineRule="auto"/>
      </w:pPr>
      <w:r>
        <w:rPr>
          <w:rFonts w:ascii="Aptos" w:hAnsi="Aptos" w:eastAsia="Aptos"/>
          <w:b w:val="0"/>
          <w:i w:val="0"/>
          <w:color w:val="625B63"/>
          <w:sz w:val="16"/>
        </w:rPr>
        <w:t>The transition timetable is compressed. Use the sequence below to surface blockers early, preserve evidence and keep regulatory statements aligned with operational reality.</w:t>
      </w:r>
    </w:p>
    <w:tbl>
      <w:tblPr>
        <w:tblW w:type="auto" w:w="0"/>
        <w:jc w:val="center"/>
        <w:tblLayout w:type="fixed"/>
        <w:tblLook w:firstColumn="1" w:firstRow="1" w:lastColumn="0" w:lastRow="0" w:noHBand="0" w:noVBand="1" w:val="04A0"/>
        <w:tblBorders>
          <w:top w:val="single" w:sz="5" w:space="0" w:color="D8CEC2"/>
          <w:left w:val="single" w:sz="5" w:space="0" w:color="D8CEC2"/>
          <w:bottom w:val="single" w:sz="5" w:space="0" w:color="D8CEC2"/>
          <w:right w:val="single" w:sz="5" w:space="0" w:color="D8CEC2"/>
          <w:insideH w:val="single" w:sz="5" w:space="0" w:color="D8CEC2"/>
          <w:insideV w:val="single" w:sz="5" w:space="0" w:color="D8CEC2"/>
        </w:tblBorders>
      </w:tblPr>
      <w:tblGrid>
        <w:gridCol w:w="2565"/>
        <w:gridCol w:w="2565"/>
        <w:gridCol w:w="2565"/>
        <w:gridCol w:w="2565"/>
      </w:tblGrid>
      <w:tr>
        <w:trPr>
          <w:tblHeader w:val="true"/>
        </w:trPr>
        <w:tc>
          <w:tcPr>
            <w:tcW w:type="dxa" w:w="1190"/>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Period</w:t>
            </w:r>
          </w:p>
        </w:tc>
        <w:tc>
          <w:tcPr>
            <w:tcW w:type="dxa" w:w="1644"/>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Objective</w:t>
            </w:r>
          </w:p>
        </w:tc>
        <w:tc>
          <w:tcPr>
            <w:tcW w:type="dxa" w:w="4251"/>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Priority work</w:t>
            </w:r>
          </w:p>
        </w:tc>
        <w:tc>
          <w:tcPr>
            <w:tcW w:type="dxa" w:w="2437"/>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Board evidence</w:t>
            </w:r>
          </w:p>
        </w:tc>
      </w:tr>
      <w:tr>
        <w:trPr>
          <w:cantSplit/>
        </w:trPr>
        <w:tc>
          <w:tcPr>
            <w:tcW w:type="dxa" w:w="119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Days 0–30</w:t>
            </w:r>
          </w:p>
        </w:tc>
        <w:tc>
          <w:tcPr>
            <w:tcW w:type="dxa" w:w="164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CLASSIFY &amp; STABILISE</w:t>
            </w:r>
          </w:p>
        </w:tc>
        <w:tc>
          <w:tcPr>
            <w:tcW w:type="dxa" w:w="4251"/>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Map activities, entities, customers, custody, revenue and cross-border touchpoints</w:t>
            </w:r>
          </w:p>
        </w:tc>
        <w:tc>
          <w:tcPr>
            <w:tcW w:type="dxa" w:w="243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Licence route and critical stop / restructure decisions</w:t>
            </w:r>
          </w:p>
        </w:tc>
      </w:tr>
      <w:tr>
        <w:trPr>
          <w:cantSplit/>
        </w:trPr>
        <w:tc>
          <w:tcPr>
            <w:tcW w:type="dxa" w:w="1190"/>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r>
          </w:p>
        </w:tc>
        <w:tc>
          <w:tcPr>
            <w:tcW w:type="dxa" w:w="1644"/>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r>
          </w:p>
        </w:tc>
        <w:tc>
          <w:tcPr>
            <w:tcW w:type="dxa" w:w="4251"/>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Confirm capital, local entity, ownership, board, key officers, bank and insurance gaps</w:t>
            </w:r>
          </w:p>
        </w:tc>
        <w:tc>
          <w:tcPr>
            <w:tcW w:type="dxa" w:w="243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Board-approved gap register and budget</w:t>
            </w:r>
          </w:p>
        </w:tc>
      </w:tr>
      <w:tr>
        <w:trPr>
          <w:cantSplit/>
        </w:trPr>
        <w:tc>
          <w:tcPr>
            <w:tcW w:type="dxa" w:w="119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r>
          </w:p>
        </w:tc>
        <w:tc>
          <w:tcPr>
            <w:tcW w:type="dxa" w:w="164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r>
          </w:p>
        </w:tc>
        <w:tc>
          <w:tcPr>
            <w:tcW w:type="dxa" w:w="4251"/>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Open evidence repository and complete regulator-engagement brief</w:t>
            </w:r>
          </w:p>
        </w:tc>
        <w:tc>
          <w:tcPr>
            <w:tcW w:type="dxa" w:w="243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Controlled index and engagement plan</w:t>
            </w:r>
          </w:p>
        </w:tc>
      </w:tr>
      <w:tr>
        <w:trPr>
          <w:cantSplit/>
        </w:trPr>
        <w:tc>
          <w:tcPr>
            <w:tcW w:type="dxa" w:w="1190"/>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Days 31–60</w:t>
            </w:r>
          </w:p>
        </w:tc>
        <w:tc>
          <w:tcPr>
            <w:tcW w:type="dxa" w:w="1644"/>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BUILD &amp; TEST</w:t>
            </w:r>
          </w:p>
        </w:tc>
        <w:tc>
          <w:tcPr>
            <w:tcW w:type="dxa" w:w="4251"/>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Complete business plan, financial model, policy suite, contracts and disclosures</w:t>
            </w:r>
          </w:p>
        </w:tc>
        <w:tc>
          <w:tcPr>
            <w:tcW w:type="dxa" w:w="243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Application-ready drafts with owners</w:t>
            </w:r>
          </w:p>
        </w:tc>
      </w:tr>
      <w:tr>
        <w:trPr>
          <w:cantSplit/>
        </w:trPr>
        <w:tc>
          <w:tcPr>
            <w:tcW w:type="dxa" w:w="119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r>
          </w:p>
        </w:tc>
        <w:tc>
          <w:tcPr>
            <w:tcW w:type="dxa" w:w="164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r>
          </w:p>
        </w:tc>
        <w:tc>
          <w:tcPr>
            <w:tcW w:type="dxa" w:w="4251"/>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Implement AML/CFT, screening, monitoring, custody, cyber and resilience controls</w:t>
            </w:r>
          </w:p>
        </w:tc>
        <w:tc>
          <w:tcPr>
            <w:tcW w:type="dxa" w:w="243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System evidence and test results</w:t>
            </w:r>
          </w:p>
        </w:tc>
      </w:tr>
      <w:tr>
        <w:trPr>
          <w:cantSplit/>
        </w:trPr>
        <w:tc>
          <w:tcPr>
            <w:tcW w:type="dxa" w:w="1190"/>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r>
          </w:p>
        </w:tc>
        <w:tc>
          <w:tcPr>
            <w:tcW w:type="dxa" w:w="1644"/>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r>
          </w:p>
        </w:tc>
        <w:tc>
          <w:tcPr>
            <w:tcW w:type="dxa" w:w="4251"/>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Close appointments, fit-and-proper, capital, bank, vendor and audit dependencies</w:t>
            </w:r>
          </w:p>
        </w:tc>
        <w:tc>
          <w:tcPr>
            <w:tcW w:type="dxa" w:w="243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Verified supporting evidence</w:t>
            </w:r>
          </w:p>
        </w:tc>
      </w:tr>
      <w:tr>
        <w:trPr>
          <w:cantSplit/>
        </w:trPr>
        <w:tc>
          <w:tcPr>
            <w:tcW w:type="dxa" w:w="119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Days 61–90</w:t>
            </w:r>
          </w:p>
        </w:tc>
        <w:tc>
          <w:tcPr>
            <w:tcW w:type="dxa" w:w="164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ASSURE &amp; SUBMIT</w:t>
            </w:r>
          </w:p>
        </w:tc>
        <w:tc>
          <w:tcPr>
            <w:tcW w:type="dxa" w:w="4251"/>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Run consistency, legal, financial, technology and control assurance</w:t>
            </w:r>
          </w:p>
        </w:tc>
        <w:tc>
          <w:tcPr>
            <w:tcW w:type="dxa" w:w="243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Remediation tracker and sign-offs</w:t>
            </w:r>
          </w:p>
        </w:tc>
      </w:tr>
      <w:tr>
        <w:trPr>
          <w:cantSplit/>
        </w:trPr>
        <w:tc>
          <w:tcPr>
            <w:tcW w:type="dxa" w:w="1190"/>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r>
          </w:p>
        </w:tc>
        <w:tc>
          <w:tcPr>
            <w:tcW w:type="dxa" w:w="1644"/>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r>
          </w:p>
        </w:tc>
        <w:tc>
          <w:tcPr>
            <w:tcW w:type="dxa" w:w="4251"/>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Approve application, transition actions and contingency arrangements</w:t>
            </w:r>
          </w:p>
        </w:tc>
        <w:tc>
          <w:tcPr>
            <w:tcW w:type="dxa" w:w="2437"/>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Board minutes and authorised submission</w:t>
            </w:r>
          </w:p>
        </w:tc>
      </w:tr>
      <w:tr>
        <w:trPr>
          <w:cantSplit/>
        </w:trPr>
        <w:tc>
          <w:tcPr>
            <w:tcW w:type="dxa" w:w="119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r>
          </w:p>
        </w:tc>
        <w:tc>
          <w:tcPr>
            <w:tcW w:type="dxa" w:w="1644"/>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r>
          </w:p>
        </w:tc>
        <w:tc>
          <w:tcPr>
            <w:tcW w:type="dxa" w:w="4251"/>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Prepare query management, regulatory reporting and post-licence operating calendar</w:t>
            </w:r>
          </w:p>
        </w:tc>
        <w:tc>
          <w:tcPr>
            <w:tcW w:type="dxa" w:w="2437"/>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Response protocol and compliance calendar</w:t>
            </w:r>
          </w:p>
        </w:tc>
      </w:tr>
    </w:tbl>
    <w:p/>
    <w:p>
      <w:pPr>
        <w:keepNext/>
        <w:spacing w:before="20" w:after="120" w:line="240" w:lineRule="auto"/>
      </w:pPr>
      <w:r>
        <w:rPr>
          <w:rFonts w:ascii="Georgia" w:hAnsi="Georgia" w:eastAsia="Georgia"/>
          <w:b w:val="0"/>
          <w:i w:val="0"/>
          <w:color w:val="2D073A"/>
          <w:sz w:val="26"/>
        </w:rPr>
        <w:t>Critical path and decisions</w:t>
      </w:r>
    </w:p>
    <w:tbl>
      <w:tblPr>
        <w:tblW w:type="auto" w:w="0"/>
        <w:jc w:val="center"/>
        <w:tblLayout w:type="fixed"/>
        <w:tblLook w:firstColumn="1" w:firstRow="1" w:lastColumn="0" w:lastRow="0" w:noHBand="0" w:noVBand="1" w:val="04A0"/>
        <w:tblBorders>
          <w:top w:val="single" w:sz="5" w:space="0" w:color="D8CEC2"/>
          <w:left w:val="single" w:sz="5" w:space="0" w:color="D8CEC2"/>
          <w:bottom w:val="single" w:sz="5" w:space="0" w:color="D8CEC2"/>
          <w:right w:val="single" w:sz="5" w:space="0" w:color="D8CEC2"/>
          <w:insideH w:val="single" w:sz="5" w:space="0" w:color="D8CEC2"/>
          <w:insideV w:val="single" w:sz="5" w:space="0" w:color="D8CEC2"/>
        </w:tblBorders>
      </w:tblPr>
      <w:tblGrid>
        <w:gridCol w:w="2052"/>
        <w:gridCol w:w="2052"/>
        <w:gridCol w:w="2052"/>
        <w:gridCol w:w="2052"/>
        <w:gridCol w:w="2052"/>
      </w:tblGrid>
      <w:tr>
        <w:trPr>
          <w:tblHeader w:val="true"/>
        </w:trPr>
        <w:tc>
          <w:tcPr>
            <w:tcW w:type="dxa" w:w="510"/>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No.</w:t>
            </w:r>
          </w:p>
        </w:tc>
        <w:tc>
          <w:tcPr>
            <w:tcW w:type="dxa" w:w="3571"/>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Decision / blocker</w:t>
            </w:r>
          </w:p>
        </w:tc>
        <w:tc>
          <w:tcPr>
            <w:tcW w:type="dxa" w:w="1870"/>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Owner</w:t>
            </w:r>
          </w:p>
        </w:tc>
        <w:tc>
          <w:tcPr>
            <w:tcW w:type="dxa" w:w="1700"/>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Due</w:t>
            </w:r>
          </w:p>
        </w:tc>
        <w:tc>
          <w:tcPr>
            <w:tcW w:type="dxa" w:w="1870"/>
            <w:shd w:fill="21042B"/>
            <w:tcMar>
              <w:top w:w="85" w:type="dxa"/>
              <w:start w:w="80" w:type="dxa"/>
              <w:bottom w:w="85" w:type="dxa"/>
              <w:end w:w="80" w:type="dxa"/>
            </w:tcMar>
            <w:vAlign w:val="center"/>
          </w:tcPr>
          <w:p>
            <w:pPr>
              <w:spacing w:before="0" w:after="0" w:line="240" w:lineRule="auto"/>
            </w:pPr>
            <w:r>
              <w:rPr>
                <w:rFonts w:ascii="Aptos" w:hAnsi="Aptos" w:eastAsia="Aptos"/>
                <w:b/>
                <w:i w:val="0"/>
                <w:color w:val="FFFFFF"/>
                <w:sz w:val="13"/>
              </w:rPr>
              <w:t>Board status</w:t>
            </w:r>
          </w:p>
        </w:tc>
      </w:tr>
      <w:tr>
        <w:trPr>
          <w:cantSplit/>
        </w:trPr>
        <w:tc>
          <w:tcPr>
            <w:tcW w:type="dxa" w:w="51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01</w:t>
            </w:r>
          </w:p>
        </w:tc>
        <w:tc>
          <w:tcPr>
            <w:tcW w:type="dxa" w:w="3571"/>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Licence route / multi-licence position</w:t>
            </w:r>
          </w:p>
        </w:tc>
        <w:tc>
          <w:tcPr>
            <w:tcW w:type="dxa" w:w="187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r>
          </w:p>
        </w:tc>
        <w:tc>
          <w:tcPr>
            <w:tcW w:type="dxa" w:w="170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r>
          </w:p>
        </w:tc>
        <w:tc>
          <w:tcPr>
            <w:tcW w:type="dxa" w:w="187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r>
          </w:p>
        </w:tc>
      </w:tr>
      <w:tr>
        <w:trPr>
          <w:cantSplit/>
        </w:trPr>
        <w:tc>
          <w:tcPr>
            <w:tcW w:type="dxa" w:w="510"/>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02</w:t>
            </w:r>
          </w:p>
        </w:tc>
        <w:tc>
          <w:tcPr>
            <w:tcW w:type="dxa" w:w="3571"/>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Capital and lawful source completion</w:t>
            </w:r>
          </w:p>
        </w:tc>
        <w:tc>
          <w:tcPr>
            <w:tcW w:type="dxa" w:w="1870"/>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r>
          </w:p>
        </w:tc>
        <w:tc>
          <w:tcPr>
            <w:tcW w:type="dxa" w:w="1700"/>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r>
          </w:p>
        </w:tc>
        <w:tc>
          <w:tcPr>
            <w:tcW w:type="dxa" w:w="1870"/>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r>
          </w:p>
        </w:tc>
      </w:tr>
      <w:tr>
        <w:trPr>
          <w:cantSplit/>
        </w:trPr>
        <w:tc>
          <w:tcPr>
            <w:tcW w:type="dxa" w:w="51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03</w:t>
            </w:r>
          </w:p>
        </w:tc>
        <w:tc>
          <w:tcPr>
            <w:tcW w:type="dxa" w:w="3571"/>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Board / key-person appointments</w:t>
            </w:r>
          </w:p>
        </w:tc>
        <w:tc>
          <w:tcPr>
            <w:tcW w:type="dxa" w:w="187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r>
          </w:p>
        </w:tc>
        <w:tc>
          <w:tcPr>
            <w:tcW w:type="dxa" w:w="170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r>
          </w:p>
        </w:tc>
        <w:tc>
          <w:tcPr>
            <w:tcW w:type="dxa" w:w="187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r>
          </w:p>
        </w:tc>
      </w:tr>
      <w:tr>
        <w:trPr>
          <w:cantSplit/>
        </w:trPr>
        <w:tc>
          <w:tcPr>
            <w:tcW w:type="dxa" w:w="510"/>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04</w:t>
            </w:r>
          </w:p>
        </w:tc>
        <w:tc>
          <w:tcPr>
            <w:tcW w:type="dxa" w:w="3571"/>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Custody, banking and safeguarding structure</w:t>
            </w:r>
          </w:p>
        </w:tc>
        <w:tc>
          <w:tcPr>
            <w:tcW w:type="dxa" w:w="1870"/>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r>
          </w:p>
        </w:tc>
        <w:tc>
          <w:tcPr>
            <w:tcW w:type="dxa" w:w="1700"/>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r>
          </w:p>
        </w:tc>
        <w:tc>
          <w:tcPr>
            <w:tcW w:type="dxa" w:w="1870"/>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r>
          </w:p>
        </w:tc>
      </w:tr>
      <w:tr>
        <w:trPr>
          <w:cantSplit/>
        </w:trPr>
        <w:tc>
          <w:tcPr>
            <w:tcW w:type="dxa" w:w="51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05</w:t>
            </w:r>
          </w:p>
        </w:tc>
        <w:tc>
          <w:tcPr>
            <w:tcW w:type="dxa" w:w="3571"/>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Technology, audit and vendor readiness</w:t>
            </w:r>
          </w:p>
        </w:tc>
        <w:tc>
          <w:tcPr>
            <w:tcW w:type="dxa" w:w="187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r>
          </w:p>
        </w:tc>
        <w:tc>
          <w:tcPr>
            <w:tcW w:type="dxa" w:w="170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r>
          </w:p>
        </w:tc>
        <w:tc>
          <w:tcPr>
            <w:tcW w:type="dxa" w:w="1870"/>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r>
          </w:p>
        </w:tc>
      </w:tr>
      <w:tr>
        <w:trPr>
          <w:cantSplit/>
        </w:trPr>
        <w:tc>
          <w:tcPr>
            <w:tcW w:type="dxa" w:w="510"/>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06</w:t>
            </w:r>
          </w:p>
        </w:tc>
        <w:tc>
          <w:tcPr>
            <w:tcW w:type="dxa" w:w="3571"/>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t>Regulator engagement / submission decision</w:t>
            </w:r>
          </w:p>
        </w:tc>
        <w:tc>
          <w:tcPr>
            <w:tcW w:type="dxa" w:w="1870"/>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r>
          </w:p>
        </w:tc>
        <w:tc>
          <w:tcPr>
            <w:tcW w:type="dxa" w:w="1700"/>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r>
          </w:p>
        </w:tc>
        <w:tc>
          <w:tcPr>
            <w:tcW w:type="dxa" w:w="1870"/>
            <w:shd w:fill="F7F3EC"/>
            <w:tcMar>
              <w:top w:w="70" w:type="dxa"/>
              <w:start w:w="72" w:type="dxa"/>
              <w:bottom w:w="70" w:type="dxa"/>
              <w:end w:w="72" w:type="dxa"/>
            </w:tcMar>
            <w:vAlign w:val="center"/>
          </w:tcPr>
          <w:p>
            <w:pPr>
              <w:spacing w:before="0" w:after="0" w:line="245" w:lineRule="auto"/>
            </w:pPr>
            <w:r>
              <w:rPr>
                <w:rFonts w:ascii="Aptos" w:hAnsi="Aptos" w:eastAsia="Aptos"/>
                <w:b w:val="0"/>
                <w:i w:val="0"/>
                <w:color w:val="2D2430"/>
                <w:sz w:val="13"/>
              </w:rPr>
            </w:r>
          </w:p>
        </w:tc>
      </w:tr>
    </w:tbl>
    <w:p>
      <w:r>
        <w:br w:type="page"/>
      </w:r>
    </w:p>
    <w:tbl>
      <w:tblPr>
        <w:tblW w:type="auto" w:w="0"/>
        <w:jc w:val="center"/>
        <w:tblLayout w:type="fixed"/>
        <w:tblLook w:firstColumn="1" w:firstRow="1" w:lastColumn="0" w:lastRow="0" w:noHBand="0" w:noVBand="1" w:val="04A0"/>
      </w:tblPr>
      <w:tblGrid>
        <w:gridCol w:w="5131"/>
        <w:gridCol w:w="5131"/>
      </w:tblGrid>
      <w:tr>
        <w:tc>
          <w:tcPr>
            <w:tcW w:type="dxa" w:w="907"/>
            <w:shd w:fill="B58A35"/>
            <w:tcMar>
              <w:top w:w="145" w:type="dxa"/>
              <w:start w:w="155" w:type="dxa"/>
              <w:bottom w:w="145" w:type="dxa"/>
              <w:end w:w="155" w:type="dxa"/>
            </w:tcMar>
            <w:vAlign w:val="center"/>
          </w:tcPr>
          <w:p>
            <w:pPr>
              <w:spacing w:before="0" w:after="0" w:line="252" w:lineRule="auto"/>
              <w:jc w:val="center"/>
            </w:pPr>
            <w:r>
              <w:rPr>
                <w:rFonts w:ascii="Georgia" w:hAnsi="Georgia" w:eastAsia="Georgia"/>
                <w:b/>
                <w:i w:val="0"/>
                <w:color w:val="FFFFFF"/>
                <w:sz w:val="30"/>
              </w:rPr>
              <w:t>09</w:t>
            </w:r>
          </w:p>
        </w:tc>
        <w:tc>
          <w:tcPr>
            <w:tcW w:type="dxa" w:w="9127"/>
            <w:shd w:fill="2D073A"/>
            <w:tcMar>
              <w:top w:w="145" w:type="dxa"/>
              <w:start w:w="155" w:type="dxa"/>
              <w:bottom w:w="145" w:type="dxa"/>
              <w:end w:w="155" w:type="dxa"/>
            </w:tcMar>
            <w:vAlign w:val="center"/>
          </w:tcPr>
          <w:p>
            <w:pPr>
              <w:spacing w:before="0" w:after="20" w:line="252" w:lineRule="auto"/>
            </w:pPr>
            <w:r>
              <w:rPr>
                <w:rFonts w:ascii="Aptos" w:hAnsi="Aptos" w:eastAsia="Aptos"/>
                <w:b/>
                <w:i w:val="0"/>
                <w:color w:val="E9C57E"/>
                <w:sz w:val="13"/>
              </w:rPr>
              <w:t>BOARD REVIEW AND LEGAL SOURCES</w:t>
            </w:r>
          </w:p>
          <w:p>
            <w:pPr>
              <w:spacing w:before="0" w:after="0" w:line="240" w:lineRule="auto"/>
            </w:pPr>
            <w:r>
              <w:rPr>
                <w:rFonts w:ascii="Georgia" w:hAnsi="Georgia" w:eastAsia="Georgia"/>
                <w:b w:val="0"/>
                <w:i w:val="0"/>
                <w:color w:val="FFFFFF"/>
                <w:sz w:val="31"/>
              </w:rPr>
              <w:t>Close the loop: decision, assurance and current-law check</w:t>
            </w:r>
          </w:p>
        </w:tc>
      </w:tr>
    </w:tbl>
    <w:p>
      <w:pPr>
        <w:keepNext/>
        <w:spacing w:before="20" w:after="120" w:line="240" w:lineRule="auto"/>
      </w:pPr>
      <w:r>
        <w:rPr>
          <w:rFonts w:ascii="Georgia" w:hAnsi="Georgia" w:eastAsia="Georgia"/>
          <w:b w:val="0"/>
          <w:i w:val="0"/>
          <w:color w:val="2D073A"/>
          <w:sz w:val="26"/>
        </w:rPr>
        <w:t>Board readiness decision</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Route confirmed and application scope approved</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Critical capital, governance, technology and control gaps funded and assigned</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Regulator engagement authorised</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Submission approved subject to recorded conditions</w:t>
      </w:r>
    </w:p>
    <w:p>
      <w:pPr>
        <w:spacing w:before="0" w:after="44" w:line="252" w:lineRule="auto"/>
        <w:ind w:left="255" w:hanging="255"/>
      </w:pPr>
      <w:r>
        <w:rPr>
          <w:rFonts w:ascii="Aptos" w:hAnsi="Aptos" w:eastAsia="Aptos"/>
          <w:b/>
          <w:i w:val="0"/>
          <w:color w:val="B58A35"/>
          <w:sz w:val="16"/>
        </w:rPr>
        <w:t xml:space="preserve">[ ] </w:t>
      </w:r>
      <w:r>
        <w:rPr>
          <w:rFonts w:ascii="Aptos" w:hAnsi="Aptos" w:eastAsia="Aptos"/>
          <w:b w:val="0"/>
          <w:i w:val="0"/>
          <w:color w:val="2D2430"/>
          <w:sz w:val="16"/>
        </w:rPr>
        <w:t>Contingency / pause / restructure action approved where readiness cannot be achieved</w:t>
      </w:r>
    </w:p>
    <w:p>
      <w:pPr>
        <w:spacing w:before="0" w:after="60" w:line="252" w:lineRule="auto"/>
      </w:pPr>
      <w:r>
        <w:rPr>
          <w:rFonts w:ascii="Aptos" w:hAnsi="Aptos" w:eastAsia="Aptos"/>
          <w:b/>
          <w:i w:val="0"/>
          <w:color w:val="2D2430"/>
          <w:sz w:val="16"/>
        </w:rPr>
        <w:t>Board meeting / written resolution date</w:t>
      </w:r>
      <w:r>
        <w:rPr>
          <w:rFonts w:ascii="Aptos" w:hAnsi="Aptos" w:eastAsia="Aptos"/>
          <w:b w:val="0"/>
          <w:i w:val="0"/>
          <w:color w:val="D8CEC2"/>
          <w:sz w:val="16"/>
        </w:rPr>
        <w:t xml:space="preserve">  ______________________________________________________________</w:t>
      </w:r>
    </w:p>
    <w:p>
      <w:pPr>
        <w:spacing w:before="0" w:after="60" w:line="252" w:lineRule="auto"/>
      </w:pPr>
      <w:r>
        <w:rPr>
          <w:rFonts w:ascii="Aptos" w:hAnsi="Aptos" w:eastAsia="Aptos"/>
          <w:b/>
          <w:i w:val="0"/>
          <w:color w:val="2D2430"/>
          <w:sz w:val="16"/>
        </w:rPr>
        <w:t>Chair / authorised signatory</w:t>
      </w:r>
      <w:r>
        <w:rPr>
          <w:rFonts w:ascii="Aptos" w:hAnsi="Aptos" w:eastAsia="Aptos"/>
          <w:b w:val="0"/>
          <w:i w:val="0"/>
          <w:color w:val="D8CEC2"/>
          <w:sz w:val="16"/>
        </w:rPr>
        <w:t xml:space="preserve">  ______________________________________________________________</w:t>
      </w:r>
    </w:p>
    <w:p>
      <w:pPr>
        <w:spacing w:before="0" w:after="60" w:line="252" w:lineRule="auto"/>
      </w:pPr>
      <w:r>
        <w:rPr>
          <w:rFonts w:ascii="Aptos" w:hAnsi="Aptos" w:eastAsia="Aptos"/>
          <w:b/>
          <w:i w:val="0"/>
          <w:color w:val="2D2430"/>
          <w:sz w:val="16"/>
        </w:rPr>
        <w:t>Conditions and unresolved risks</w:t>
      </w:r>
      <w:r>
        <w:rPr>
          <w:rFonts w:ascii="Aptos" w:hAnsi="Aptos" w:eastAsia="Aptos"/>
          <w:b w:val="0"/>
          <w:i w:val="0"/>
          <w:color w:val="D8CEC2"/>
          <w:sz w:val="16"/>
        </w:rPr>
        <w:t xml:space="preserve">  ______________________________________________________________</w:t>
      </w:r>
    </w:p>
    <w:p>
      <w:pPr>
        <w:keepNext/>
        <w:spacing w:before="20" w:after="120" w:line="240" w:lineRule="auto"/>
      </w:pPr>
      <w:r>
        <w:rPr>
          <w:rFonts w:ascii="Georgia" w:hAnsi="Georgia" w:eastAsia="Georgia"/>
          <w:b w:val="0"/>
          <w:i w:val="0"/>
          <w:color w:val="2D073A"/>
          <w:sz w:val="26"/>
        </w:rPr>
        <w:t>Primary sources</w:t>
      </w:r>
    </w:p>
    <w:p>
      <w:pPr>
        <w:spacing w:before="0" w:after="60" w:line="252" w:lineRule="auto"/>
      </w:pPr>
      <w:r>
        <w:rPr>
          <w:rFonts w:ascii="Aptos" w:hAnsi="Aptos" w:eastAsia="Aptos"/>
          <w:b/>
          <w:i w:val="0"/>
          <w:color w:val="B58A35"/>
          <w:sz w:val="16"/>
        </w:rPr>
        <w:t xml:space="preserve">↗  </w:t>
      </w:r>
      <w:hyperlink r:id="rId11">
        <w:r>
          <w:rPr>
            <w:color w:val="B58A35"/>
            <w:sz w:val="16"/>
            <w:u w:val="single"/>
          </w:rPr>
          <w:t>Virtual Asset Service Providers Act, 2025</w:t>
        </w:r>
      </w:hyperlink>
    </w:p>
    <w:p>
      <w:pPr>
        <w:spacing w:before="0" w:after="60" w:line="252" w:lineRule="auto"/>
      </w:pPr>
      <w:r>
        <w:rPr>
          <w:rFonts w:ascii="Aptos" w:hAnsi="Aptos" w:eastAsia="Aptos"/>
          <w:b/>
          <w:i w:val="0"/>
          <w:color w:val="B58A35"/>
          <w:sz w:val="16"/>
        </w:rPr>
        <w:t xml:space="preserve">↗  </w:t>
      </w:r>
      <w:hyperlink r:id="rId12">
        <w:r>
          <w:rPr>
            <w:color w:val="B58A35"/>
            <w:sz w:val="16"/>
            <w:u w:val="single"/>
          </w:rPr>
          <w:t>Virtual Asset Service Providers Regulations, 2026 — Legal Notice No. 134</w:t>
        </w:r>
      </w:hyperlink>
    </w:p>
    <w:p>
      <w:pPr>
        <w:spacing w:before="0" w:after="60" w:line="252" w:lineRule="auto"/>
      </w:pPr>
      <w:r>
        <w:rPr>
          <w:rFonts w:ascii="Aptos" w:hAnsi="Aptos" w:eastAsia="Aptos"/>
          <w:b/>
          <w:i w:val="0"/>
          <w:color w:val="B58A35"/>
          <w:sz w:val="16"/>
        </w:rPr>
        <w:t xml:space="preserve">↗  </w:t>
      </w:r>
      <w:hyperlink r:id="rId13">
        <w:r>
          <w:rPr>
            <w:color w:val="B58A35"/>
            <w:sz w:val="16"/>
            <w:u w:val="single"/>
          </w:rPr>
          <w:t>Proceeds of Crime and Anti-Money Laundering Act</w:t>
        </w:r>
      </w:hyperlink>
    </w:p>
    <w:p>
      <w:pPr>
        <w:spacing w:before="0" w:after="60" w:line="252" w:lineRule="auto"/>
      </w:pPr>
      <w:r>
        <w:rPr>
          <w:rFonts w:ascii="Aptos" w:hAnsi="Aptos" w:eastAsia="Aptos"/>
          <w:b/>
          <w:i w:val="0"/>
          <w:color w:val="B58A35"/>
          <w:sz w:val="16"/>
        </w:rPr>
        <w:t xml:space="preserve">↗  </w:t>
      </w:r>
      <w:hyperlink r:id="rId14">
        <w:r>
          <w:rPr>
            <w:color w:val="B58A35"/>
            <w:sz w:val="16"/>
            <w:u w:val="single"/>
          </w:rPr>
          <w:t>Capital Markets Authority — regulatory framework</w:t>
        </w:r>
      </w:hyperlink>
    </w:p>
    <w:p>
      <w:pPr>
        <w:spacing w:before="0" w:after="60" w:line="252" w:lineRule="auto"/>
      </w:pPr>
      <w:r>
        <w:rPr>
          <w:rFonts w:ascii="Aptos" w:hAnsi="Aptos" w:eastAsia="Aptos"/>
          <w:b/>
          <w:i w:val="0"/>
          <w:color w:val="B58A35"/>
          <w:sz w:val="16"/>
        </w:rPr>
        <w:t xml:space="preserve">↗  </w:t>
      </w:r>
      <w:hyperlink r:id="rId15">
        <w:r>
          <w:rPr>
            <w:color w:val="B58A35"/>
            <w:sz w:val="16"/>
            <w:u w:val="single"/>
          </w:rPr>
          <w:t>Central Bank of Kenya — legislation and guidelines</w:t>
        </w:r>
      </w:hyperlink>
    </w:p>
    <w:p>
      <w:pPr>
        <w:keepNext/>
        <w:spacing w:before="20" w:after="120" w:line="240" w:lineRule="auto"/>
      </w:pPr>
      <w:r>
        <w:rPr>
          <w:rFonts w:ascii="Georgia" w:hAnsi="Georgia" w:eastAsia="Georgia"/>
          <w:b w:val="0"/>
          <w:i w:val="0"/>
          <w:color w:val="2D073A"/>
          <w:sz w:val="26"/>
        </w:rPr>
        <w:t>Important notice</w:t>
      </w:r>
    </w:p>
    <w:p>
      <w:pPr>
        <w:spacing w:before="0" w:after="120" w:line="259" w:lineRule="auto"/>
      </w:pPr>
      <w:r>
        <w:rPr>
          <w:rFonts w:ascii="Aptos" w:hAnsi="Aptos" w:eastAsia="Aptos"/>
          <w:b w:val="0"/>
          <w:i w:val="0"/>
          <w:color w:val="625B63"/>
          <w:sz w:val="15"/>
        </w:rPr>
        <w:t>This resource provides general information and a working structure as at 17 August 2026. It does not determine whether an activity is regulated, identify every applicable licence, reproduce every application requirement, or constitute legal, tax, financial, technology, AML/CFT or other professional advice. The Act, Regulations, schedules, forms, fees, guidance and regulator directions may change or require fact-specific interpretation. Obtain advice on the complete operating model and check current official sources before acting or filing.</w:t>
      </w:r>
    </w:p>
    <w:tbl>
      <w:tblPr>
        <w:tblW w:type="auto" w:w="0"/>
        <w:jc w:val="center"/>
        <w:tblLayout w:type="fixed"/>
        <w:tblLook w:firstColumn="1" w:firstRow="1" w:lastColumn="0" w:lastRow="0" w:noHBand="0" w:noVBand="1" w:val="04A0"/>
      </w:tblPr>
      <w:tblGrid>
        <w:gridCol w:w="10262"/>
      </w:tblGrid>
      <w:tr>
        <w:tc>
          <w:tcPr>
            <w:tcW w:type="dxa" w:w="10262"/>
            <w:shd w:fill="EFE7DB"/>
            <w:tcMar>
              <w:top w:w="130" w:type="dxa"/>
              <w:start w:w="160" w:type="dxa"/>
              <w:bottom w:w="130" w:type="dxa"/>
              <w:end w:w="160" w:type="dxa"/>
            </w:tcMar>
          </w:tcPr>
          <w:p>
            <w:pPr>
              <w:spacing w:before="0" w:after="60" w:line="252" w:lineRule="auto"/>
            </w:pPr>
            <w:r>
              <w:rPr>
                <w:rFonts w:ascii="Aptos" w:hAnsi="Aptos" w:eastAsia="Aptos"/>
                <w:b/>
                <w:i w:val="0"/>
                <w:color w:val="B58A35"/>
                <w:sz w:val="14"/>
              </w:rPr>
              <w:t>NEED A DEFINED READINESS REVIEW?</w:t>
            </w:r>
          </w:p>
          <w:p>
            <w:pPr>
              <w:spacing w:before="0" w:after="0" w:line="259" w:lineRule="auto"/>
            </w:pPr>
            <w:r>
              <w:rPr>
                <w:rFonts w:ascii="Aptos" w:hAnsi="Aptos" w:eastAsia="Aptos"/>
                <w:b w:val="0"/>
                <w:i w:val="0"/>
                <w:color w:val="2D2430"/>
                <w:sz w:val="16"/>
              </w:rPr>
              <w:t>S.N. Nyaga &amp; Company Advocates can scope an activity-classification review, VASP transition gap assessment, governance and policy workstream, or application-readiness mandate. Begin with a short, non-confidential description of the services, customer locations, custody model and target timetable.</w:t>
            </w:r>
          </w:p>
        </w:tc>
      </w:tr>
    </w:tbl>
    <w:p>
      <w:pPr>
        <w:spacing w:before="120" w:after="40" w:line="252" w:lineRule="auto"/>
        <w:jc w:val="center"/>
      </w:pPr>
      <w:hyperlink r:id="rId16">
        <w:r>
          <w:rPr>
            <w:color w:val="B58A35"/>
            <w:sz w:val="16"/>
            <w:u w:val="single"/>
          </w:rPr>
          <w:t>snnyagaadvocates.co.ke/virtual-asset-service-provider-regulation-kenya</w:t>
        </w:r>
      </w:hyperlink>
    </w:p>
    <w:p>
      <w:pPr>
        <w:spacing w:before="0" w:after="0" w:line="252" w:lineRule="auto"/>
        <w:jc w:val="center"/>
      </w:pPr>
      <w:hyperlink r:id="rId17">
        <w:r>
          <w:rPr>
            <w:color w:val="B58A35"/>
            <w:sz w:val="16"/>
            <w:u w:val="single"/>
          </w:rPr>
          <w:t>info@snnyagaadvocates.co.ke</w:t>
        </w:r>
      </w:hyperlink>
    </w:p>
    <w:sectPr w:rsidR="00FC693F" w:rsidRPr="0006063C" w:rsidSect="00034616">
      <w:headerReference w:type="default" r:id="rId9"/>
      <w:footerReference w:type="default" r:id="rId10"/>
      <w:pgSz w:w="11906" w:h="16838"/>
      <w:pgMar w:top="709" w:right="822" w:bottom="709" w:left="822" w:header="312" w:footer="31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52" w:lineRule="auto"/>
    </w:pPr>
    <w:r>
      <w:rPr>
        <w:rFonts w:ascii="Aptos" w:hAnsi="Aptos" w:eastAsia="Aptos"/>
        <w:b w:val="0"/>
        <w:i w:val="0"/>
        <w:color w:val="625B63"/>
        <w:sz w:val="14"/>
      </w:rPr>
      <w:t xml:space="preserve">snnyagaadvocates.co.ke   ·   General working aid   ·   </w:t>
    </w:r>
    <w:r>
      <w:rPr>
        <w:rFonts w:ascii="Aptos" w:hAnsi="Aptos" w:eastAsia="Aptos"/>
        <w:b w:val="0"/>
        <w:i w:val="0"/>
        <w:color w:val="625B63"/>
        <w:sz w:val="14"/>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52" w:lineRule="auto"/>
      <w:jc w:val="right"/>
    </w:pPr>
    <w:r>
      <w:rPr>
        <w:rFonts w:ascii="Aptos" w:hAnsi="Aptos" w:eastAsia="Aptos"/>
        <w:b/>
        <w:i w:val="0"/>
        <w:color w:val="B58A35"/>
        <w:sz w:val="13"/>
      </w:rPr>
      <w:t>S.N. NYAGA &amp; COMPANY ADVOCATES  ·  VASP 2026 READINESS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Aptos" w:hAnsi="Aptos" w:eastAsia="Aptos"/>
      <w:color w:val="2D2430"/>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new.kenyalaw.org/akn/ke/act/2025/20" TargetMode="External"/><Relationship Id="rId12" Type="http://schemas.openxmlformats.org/officeDocument/2006/relationships/hyperlink" Target="https://new.kenyalaw.org/akn/ke/act/ln/2026/134" TargetMode="External"/><Relationship Id="rId13" Type="http://schemas.openxmlformats.org/officeDocument/2006/relationships/hyperlink" Target="https://new.kenyalaw.org/akn/ke/act/2009/9" TargetMode="External"/><Relationship Id="rId14" Type="http://schemas.openxmlformats.org/officeDocument/2006/relationships/hyperlink" Target="https://www.cma.or.ke/regulatory-framework/" TargetMode="External"/><Relationship Id="rId15" Type="http://schemas.openxmlformats.org/officeDocument/2006/relationships/hyperlink" Target="https://www.centralbank.go.ke/policy-procedures/legislation-and-guidelines/" TargetMode="External"/><Relationship Id="rId16" Type="http://schemas.openxmlformats.org/officeDocument/2006/relationships/hyperlink" Target="https://snnyagaadvocates.co.ke/virtual-asset-service-provider-regulation-kenya" TargetMode="External"/><Relationship Id="rId17" Type="http://schemas.openxmlformats.org/officeDocument/2006/relationships/hyperlink" Target="mailto:info@snnyagaadvocates.co.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Kenya VASP 2026 Transition &amp; Licensing Readiness Checklist</dc:title>
  <dc:subject>Kenyan VASP activity classification, licensing and implementation readiness</dc:subject>
  <dc:creator>S.N. Nyaga &amp; Company Advocates</dc:creator>
  <cp:keywords>Kenya VASP, virtual assets, CBK, CMA, licensing, AML/CFT, checklist</cp:keywords>
  <dc:description>generated by python-docx</dc:description>
  <cp:lastModifiedBy/>
  <cp:revision>1</cp:revision>
  <dcterms:created xsi:type="dcterms:W3CDTF">2013-12-23T23:15:00Z</dcterms:created>
  <dcterms:modified xsi:type="dcterms:W3CDTF">2013-12-23T23:15:00Z</dcterms:modified>
  <cp:category/>
</cp:coreProperties>
</file>